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AAFFA">
      <w:pPr>
        <w:pStyle w:val="126"/>
        <w:framePr w:h="1801" w:hRule="exact" w:wrap="around"/>
      </w:pPr>
      <w:bookmarkStart w:id="0" w:name="c1"/>
      <w:r>
        <w:rPr>
          <w:rFonts w:ascii="Times New Roman"/>
        </w:rPr>
        <w:t>ICS</w:t>
      </w:r>
      <w:r>
        <w:rPr>
          <w:rFonts w:hAnsi="黑体"/>
        </w:rPr>
        <w:t> </w:t>
      </w:r>
      <w:r>
        <w:t>77.040.01</w:t>
      </w:r>
    </w:p>
    <w:p w14:paraId="5776E19D">
      <w:pPr>
        <w:pStyle w:val="126"/>
        <w:framePr w:h="1801" w:hRule="exact" w:wrap="around"/>
      </w:pPr>
      <w:r>
        <w:rPr>
          <w:rFonts w:ascii="Times New Roman"/>
        </w:rPr>
        <w:t>CCS</w:t>
      </w:r>
      <w:r>
        <w:t xml:space="preserve">  H 20</w:t>
      </w:r>
    </w:p>
    <w:p w14:paraId="6AFD6199">
      <w:pPr>
        <w:pStyle w:val="126"/>
        <w:framePr w:h="1801" w:hRule="exact" w:wrap="around"/>
        <w:jc w:val="right"/>
        <w:rPr>
          <w:rFonts w:ascii="Times New Roman"/>
          <w:b/>
          <w:bCs/>
          <w:w w:val="130"/>
          <w:sz w:val="96"/>
          <w:szCs w:val="96"/>
        </w:rPr>
      </w:pPr>
      <w:r>
        <w:rPr>
          <w:rFonts w:ascii="Times New Roman"/>
          <w:b/>
          <w:bCs/>
          <w:w w:val="130"/>
          <w:sz w:val="96"/>
          <w:szCs w:val="96"/>
        </w:rPr>
        <w:t>T/CNS</w:t>
      </w:r>
    </w:p>
    <w:p w14:paraId="49C6683B">
      <w:pPr>
        <w:pStyle w:val="126"/>
        <w:framePr w:h="1801" w:hRule="exact" w:wrap="around"/>
      </w:pPr>
    </w:p>
    <w:bookmarkEnd w:id="0"/>
    <w:p w14:paraId="4D15C7AF">
      <w:pPr>
        <w:pStyle w:val="113"/>
        <w:framePr w:wrap="around"/>
        <w:rPr>
          <w:sz w:val="48"/>
          <w:szCs w:val="48"/>
        </w:rPr>
      </w:pPr>
      <w:r>
        <w:rPr>
          <w:rFonts w:hint="eastAsia"/>
          <w:sz w:val="48"/>
          <w:szCs w:val="48"/>
        </w:rPr>
        <w:t>团体标准</w:t>
      </w:r>
    </w:p>
    <w:p w14:paraId="0189A732">
      <w:pPr>
        <w:pStyle w:val="50"/>
        <w:framePr w:h="1126" w:hRule="exact" w:wrap="around" w:y="3016"/>
        <w:rPr>
          <w:rFonts w:hAnsi="黑体"/>
        </w:rPr>
      </w:pPr>
      <w:r>
        <w:rPr>
          <w:rFonts w:hint="eastAsia" w:ascii="Times New Roman"/>
          <w:b/>
          <w:bCs/>
        </w:rPr>
        <w:t>T</w:t>
      </w:r>
      <w:r>
        <w:rPr>
          <w:rFonts w:ascii="Times New Roman"/>
          <w:b/>
          <w:bCs/>
        </w:rPr>
        <w:t>/</w:t>
      </w:r>
      <w:r>
        <w:rPr>
          <w:rFonts w:hint="eastAsia" w:ascii="Times New Roman"/>
          <w:b/>
          <w:bCs/>
        </w:rPr>
        <w:t>CNS</w:t>
      </w:r>
      <w:r>
        <w:rPr>
          <w:rFonts w:ascii="Times New Roman"/>
        </w:rPr>
        <w:t xml:space="preserve"> </w:t>
      </w:r>
      <w:r>
        <w:rPr>
          <w:rFonts w:hint="eastAsia" w:ascii="Times New Roman"/>
        </w:rPr>
        <w:t>XXXX</w:t>
      </w:r>
      <w:r>
        <w:rPr>
          <w:rFonts w:hAnsi="黑体"/>
        </w:rPr>
        <w:t>—</w:t>
      </w:r>
      <w:r>
        <w:rPr>
          <w:rFonts w:hint="eastAsia" w:hAnsi="黑体"/>
        </w:rPr>
        <w:t>202</w:t>
      </w:r>
      <w:r>
        <w:rPr>
          <w:rFonts w:hAnsi="黑体"/>
        </w:rPr>
        <w:t>6</w:t>
      </w:r>
    </w:p>
    <w:p w14:paraId="668C40BF">
      <w:pPr>
        <w:pStyle w:val="50"/>
        <w:framePr w:h="1126" w:hRule="exact" w:wrap="around" w:y="3016"/>
        <w:rPr>
          <w:rFonts w:hAnsi="黑体"/>
        </w:rPr>
      </w:pPr>
    </w:p>
    <w:p w14:paraId="18F07181">
      <w:pPr>
        <w:pStyle w:val="50"/>
        <w:framePr w:h="1126" w:hRule="exact" w:wrap="around" w:y="3016"/>
        <w:rPr>
          <w:rFonts w:hAnsi="黑体"/>
        </w:rPr>
      </w:pPr>
    </w:p>
    <w:p w14:paraId="244D7952">
      <w:pPr>
        <w:pStyle w:val="81"/>
        <w:framePr w:w="10417" w:wrap="around" w:x="787" w:y="6082"/>
      </w:pPr>
      <w:r>
        <w:rPr>
          <w:rFonts w:hint="eastAsia"/>
        </w:rPr>
        <w:t>高温气冷堆核动力厂用负压通风柜</w:t>
      </w:r>
    </w:p>
    <w:p w14:paraId="63678793">
      <w:pPr>
        <w:pStyle w:val="82"/>
        <w:framePr w:w="10417" w:wrap="around" w:x="787" w:y="6082"/>
        <w:rPr>
          <w:b/>
          <w:bCs/>
        </w:rPr>
      </w:pPr>
      <w:r>
        <w:rPr>
          <w:b/>
          <w:bCs/>
        </w:rPr>
        <w:t>V</w:t>
      </w:r>
      <w:r>
        <w:rPr>
          <w:rFonts w:hint="eastAsia"/>
          <w:b/>
          <w:bCs/>
        </w:rPr>
        <w:t>entilation cabinet</w:t>
      </w:r>
      <w:r>
        <w:rPr>
          <w:b/>
          <w:bCs/>
        </w:rPr>
        <w:t xml:space="preserve"> for </w:t>
      </w:r>
      <w:r>
        <w:rPr>
          <w:rFonts w:hint="eastAsia"/>
          <w:b/>
          <w:bCs/>
        </w:rPr>
        <w:t>h</w:t>
      </w:r>
      <w:r>
        <w:rPr>
          <w:b/>
          <w:bCs/>
        </w:rPr>
        <w:t xml:space="preserve">igh </w:t>
      </w:r>
      <w:r>
        <w:rPr>
          <w:rFonts w:hint="eastAsia"/>
          <w:b/>
          <w:bCs/>
        </w:rPr>
        <w:t>t</w:t>
      </w:r>
      <w:r>
        <w:rPr>
          <w:b/>
          <w:bCs/>
        </w:rPr>
        <w:t xml:space="preserve">emperature </w:t>
      </w:r>
      <w:r>
        <w:rPr>
          <w:rFonts w:hint="eastAsia"/>
          <w:b/>
          <w:bCs/>
        </w:rPr>
        <w:t>g</w:t>
      </w:r>
      <w:r>
        <w:rPr>
          <w:b/>
          <w:bCs/>
        </w:rPr>
        <w:t xml:space="preserve">as </w:t>
      </w:r>
      <w:r>
        <w:rPr>
          <w:rFonts w:hint="eastAsia"/>
          <w:b/>
          <w:bCs/>
        </w:rPr>
        <w:t>c</w:t>
      </w:r>
      <w:r>
        <w:rPr>
          <w:b/>
          <w:bCs/>
        </w:rPr>
        <w:t xml:space="preserve">ooled </w:t>
      </w:r>
      <w:r>
        <w:rPr>
          <w:rFonts w:hint="eastAsia"/>
          <w:b/>
          <w:bCs/>
        </w:rPr>
        <w:t>r</w:t>
      </w:r>
      <w:r>
        <w:rPr>
          <w:b/>
          <w:bCs/>
        </w:rPr>
        <w:t>eactor nuclear power plant</w:t>
      </w:r>
    </w:p>
    <w:p w14:paraId="7491DD3B">
      <w:pPr>
        <w:pStyle w:val="82"/>
        <w:framePr w:w="10417" w:wrap="around" w:x="787" w:y="6082"/>
        <w:rPr>
          <w:b/>
        </w:rPr>
      </w:pP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3B0357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32A2A0EE">
            <w:pPr>
              <w:pStyle w:val="84"/>
              <w:framePr w:w="10417" w:wrap="around" w:x="787" w:y="6082"/>
            </w:pPr>
            <w:r>
              <w:rPr>
                <w:rFonts w:hint="eastAsia"/>
              </w:rPr>
              <w:t>征求意见稿</w:t>
            </w: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4" name="RQ"/>
                      <wp:cNvGraphicFramePr/>
                      <a:graphic xmlns:a="http://schemas.openxmlformats.org/drawingml/2006/main">
                        <a:graphicData uri="http://schemas.microsoft.com/office/word/2010/wordprocessingShape">
                          <wps:wsp>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YmuktUAAAAKAQAADwAAAAAAAAABACAAAAAiAAAAZHJzL2Rvd25yZXYueG1sUEsBAhQAFAAAAAgA&#10;h07iQKHcPxTvAQAA8AMAAA4AAAAAAAAAAQAgAAAAJAEAAGRycy9lMm9Eb2MueG1sUEsFBgAAAAAG&#10;AAYAWQEAAIUFA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0" b="0"/>
                      <wp:wrapNone/>
                      <wp:docPr id="3" name="LB"/>
                      <wp:cNvGraphicFramePr/>
                      <a:graphic xmlns:a="http://schemas.openxmlformats.org/drawingml/2006/main">
                        <a:graphicData uri="http://schemas.microsoft.com/office/word/2010/wordprocessingShape">
                          <wps:wsp>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Phi+XWAAAACQEAAA8AAAAAAAAAAQAgAAAAIgAAAGRycy9kb3ducmV2LnhtbFBLAQIUABQAAAAI&#10;AIdO4kAUtNKs7wEAAPADAAAOAAAAAAAAAAEAIAAAACUBAABkcnMvZTJvRG9jLnhtbFBLBQYAAAAA&#10;BgAGAFkBAACGBQAAAAA=&#10;">
                      <v:fill on="t" focussize="0,0"/>
                      <v:stroke on="f"/>
                      <v:imagedata o:title=""/>
                      <o:lock v:ext="edit" aspectratio="f"/>
                    </v:rect>
                  </w:pict>
                </mc:Fallback>
              </mc:AlternateContent>
            </w:r>
          </w:p>
        </w:tc>
      </w:tr>
      <w:tr w14:paraId="30AFC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218BD0ED">
            <w:pPr>
              <w:pStyle w:val="85"/>
              <w:framePr w:w="10417" w:wrap="around" w:x="787" w:y="6082"/>
            </w:pPr>
          </w:p>
        </w:tc>
      </w:tr>
    </w:tbl>
    <w:p w14:paraId="4C149D73">
      <w:pPr>
        <w:pStyle w:val="134"/>
        <w:framePr w:wrap="around" w:hAnchor="page" w:x="1585" w:y="14137"/>
      </w:pPr>
      <w:r>
        <w:rPr>
          <w:rFonts w:hint="eastAsia"/>
        </w:rPr>
        <w:t>202</w:t>
      </w:r>
      <w:r>
        <w:t xml:space="preserve">6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0" t="0" r="1270" b="0"/>
                <wp:wrapNone/>
                <wp:docPr id="2" name="Line 10"/>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CWHazzWAAAA&#10;CwEAAA8AAAAAAAAAAQAgAAAAIgAAAGRycy9kb3ducmV2LnhtbFBLAQIUABQAAAAIAIdO4kDcfFU7&#10;rQEAAG4DAAAOAAAAAAAAAAEAIAAAACUBAABkcnMvZTJvRG9jLnhtbFBLBQYAAAAABgAGAFkBAABE&#10;BQAAAAA=&#10;">
                <v:fill on="f" focussize="0,0"/>
                <v:stroke color="#000000" joinstyle="round"/>
                <v:imagedata o:title=""/>
                <o:lock v:ext="edit" aspectratio="f"/>
                <w10:anchorlock/>
              </v:line>
            </w:pict>
          </mc:Fallback>
        </mc:AlternateContent>
      </w:r>
    </w:p>
    <w:p w14:paraId="2F57444B">
      <w:pPr>
        <w:pStyle w:val="135"/>
        <w:framePr w:wrap="around" w:hAnchor="page" w:x="6613"/>
      </w:pPr>
      <w:r>
        <w:rPr>
          <w:rFonts w:hint="eastAsia"/>
        </w:rPr>
        <w:t>202</w:t>
      </w:r>
      <w:r>
        <w:t xml:space="preserve">6 </w:t>
      </w:r>
      <w:r>
        <w:rPr>
          <w:rFonts w:ascii="黑体"/>
        </w:rPr>
        <w:t>-</w:t>
      </w:r>
      <w:r>
        <w:t xml:space="preserve"> </w:t>
      </w:r>
      <w:r>
        <w:rPr>
          <w:rFonts w:ascii="黑体"/>
        </w:rPr>
        <w:t>XX</w:t>
      </w:r>
      <w:r>
        <w:t xml:space="preserve"> </w:t>
      </w:r>
      <w:r>
        <w:rPr>
          <w:rFonts w:ascii="黑体"/>
        </w:rPr>
        <w:t>–</w:t>
      </w:r>
      <w:r>
        <w:t xml:space="preserve"> </w:t>
      </w:r>
      <w:r>
        <w:rPr>
          <w:rFonts w:ascii="黑体"/>
        </w:rPr>
        <w:t xml:space="preserve">XX </w:t>
      </w:r>
      <w:r>
        <w:rPr>
          <w:rFonts w:hint="eastAsia"/>
        </w:rPr>
        <w:t>实施</w:t>
      </w:r>
    </w:p>
    <w:p w14:paraId="0F5DC29A">
      <w:pPr>
        <w:pStyle w:val="114"/>
        <w:framePr w:wrap="around"/>
      </w:pPr>
      <w:r>
        <w:rPr>
          <w:rFonts w:hint="eastAsia"/>
        </w:rPr>
        <w:t>中国核学会</w:t>
      </w:r>
      <w:r>
        <w:rPr>
          <w:rFonts w:hint="eastAsia" w:ascii="MS Mincho" w:hAnsi="MS Mincho" w:eastAsia="MS Mincho" w:cs="MS Mincho"/>
        </w:rPr>
        <w:t>   </w:t>
      </w:r>
      <w:r>
        <w:rPr>
          <w:rStyle w:val="76"/>
          <w:rFonts w:hint="eastAsia"/>
        </w:rPr>
        <w:t>发布</w:t>
      </w:r>
    </w:p>
    <w:tbl>
      <w:tblPr>
        <w:tblStyle w:val="36"/>
        <w:tblpPr w:leftFromText="180" w:rightFromText="180" w:vertAnchor="text" w:horzAnchor="margin" w:tblpY="107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40"/>
      </w:tblGrid>
      <w:tr w14:paraId="55B2A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40" w:type="dxa"/>
            <w:tcBorders>
              <w:top w:val="nil"/>
              <w:left w:val="nil"/>
              <w:bottom w:val="nil"/>
              <w:right w:val="nil"/>
            </w:tcBorders>
            <w:shd w:val="clear" w:color="auto" w:fill="auto"/>
          </w:tcPr>
          <w:p w14:paraId="3CD18700">
            <w:pPr>
              <w:pStyle w:val="79"/>
              <w:framePr w:w="0" w:hRule="auto" w:hSpace="0" w:wrap="auto" w:vAnchor="margin" w:hAnchor="text" w:xAlign="left" w:yAlign="inline"/>
            </w:pPr>
          </w:p>
        </w:tc>
      </w:tr>
    </w:tbl>
    <w:p w14:paraId="132EB716">
      <w:pPr>
        <w:pStyle w:val="27"/>
        <w:sectPr>
          <w:headerReference r:id="rId3" w:type="even"/>
          <w:footerReference r:id="rId4" w:type="even"/>
          <w:pgSz w:w="11906" w:h="16838"/>
          <w:pgMar w:top="567" w:right="1134" w:bottom="1134" w:left="1417" w:header="0" w:footer="0" w:gutter="0"/>
          <w:pgNumType w:start="1"/>
          <w:cols w:space="425" w:num="1"/>
          <w:docGrid w:type="lines" w:linePitch="312" w:charSpace="0"/>
        </w:sectPr>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8943340</wp:posOffset>
                </wp:positionV>
                <wp:extent cx="5847715" cy="0"/>
                <wp:effectExtent l="0" t="0" r="19685" b="19050"/>
                <wp:wrapNone/>
                <wp:docPr id="10" name="直接连接符 10"/>
                <wp:cNvGraphicFramePr/>
                <a:graphic xmlns:a="http://schemas.openxmlformats.org/drawingml/2006/main">
                  <a:graphicData uri="http://schemas.microsoft.com/office/word/2010/wordprocessingShape">
                    <wps:wsp>
                      <wps:cNvCnPr/>
                      <wps:spPr>
                        <a:xfrm>
                          <a:off x="0" y="0"/>
                          <a:ext cx="5847907"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top:704.2pt;height:0pt;width:460.45pt;mso-position-horizontal:right;mso-position-horizontal-relative:margin;z-index:251664384;mso-width-relative:page;mso-height-relative:page;" filled="f" stroked="t" coordsize="21600,21600" o:gfxdata="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cFqk1wAAAAoB&#10;AAAPAAAAAAAAAAEAIAAAACIAAABkcnMvZG93bnJldi54bWxQSwECFAAUAAAACACHTuJAEfoHy+MB&#10;AACzAwAADgAAAAAAAAABACAAAAAmAQAAZHJzL2Uyb0RvYy54bWxQSwUGAAAAAAYABgBZAQAAewUA&#10;AAAA&#10;">
                <v:fill on="f" focussize="0,0"/>
                <v:stroke color="#000000 [3200]" miterlimit="8" joinstyle="miter"/>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2339975</wp:posOffset>
                </wp:positionV>
                <wp:extent cx="6120130" cy="0"/>
                <wp:effectExtent l="0" t="0" r="1270" b="0"/>
                <wp:wrapNone/>
                <wp:docPr id="1" name="Line 11"/>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1312;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CQeJf1wAA&#10;AAkBAAAPAAAAAAAAAAEAIAAAACIAAABkcnMvZG93bnJldi54bWxQSwECFAAUAAAACACHTuJANW0K&#10;n60BAABuAwAADgAAAAAAAAABACAAAAAmAQAAZHJzL2Uyb0RvYy54bWxQSwUGAAAAAAYABgBZAQAA&#10;RQUAAAAA&#10;">
                <v:fill on="f" focussize="0,0"/>
                <v:stroke color="#000000" joinstyle="round"/>
                <v:imagedata o:title=""/>
                <o:lock v:ext="edit" aspectratio="f"/>
              </v:line>
            </w:pict>
          </mc:Fallback>
        </mc:AlternateContent>
      </w:r>
    </w:p>
    <w:p w14:paraId="7AE015F0">
      <w:pPr>
        <w:pStyle w:val="53"/>
        <w:rPr>
          <w:rFonts w:hAnsi="黑体"/>
        </w:rPr>
      </w:pPr>
      <w:bookmarkStart w:id="1" w:name="_Toc225759302"/>
      <w:bookmarkStart w:id="2" w:name="_Toc48658960"/>
      <w:bookmarkStart w:id="3" w:name="_Toc224918908"/>
      <w:bookmarkStart w:id="4" w:name="_Toc219729475"/>
      <w:r>
        <w:rPr>
          <w:rFonts w:hint="eastAsia" w:hAnsi="黑体"/>
        </w:rPr>
        <w:t>目</w:t>
      </w:r>
      <w:bookmarkStart w:id="5" w:name="BKML"/>
      <w:r>
        <w:rPr>
          <w:rFonts w:hAnsi="黑体" w:cs="MS Mincho"/>
        </w:rPr>
        <w:t>  </w:t>
      </w:r>
      <w:r>
        <w:rPr>
          <w:rFonts w:hint="eastAsia" w:hAnsi="黑体"/>
        </w:rPr>
        <w:t>次</w:t>
      </w:r>
      <w:bookmarkEnd w:id="1"/>
      <w:bookmarkEnd w:id="2"/>
      <w:bookmarkEnd w:id="3"/>
      <w:bookmarkEnd w:id="4"/>
      <w:bookmarkEnd w:id="5"/>
    </w:p>
    <w:sdt>
      <w:sdtPr>
        <w:rPr>
          <w:rFonts w:ascii="Times New Roman"/>
          <w:szCs w:val="24"/>
          <w:lang w:val="zh-CN"/>
        </w:rPr>
        <w:id w:val="-283963139"/>
        <w:docPartObj>
          <w:docPartGallery w:val="Table of Contents"/>
          <w:docPartUnique/>
        </w:docPartObj>
      </w:sdtPr>
      <w:sdtEndPr>
        <w:rPr>
          <w:rFonts w:ascii="Times New Roman"/>
          <w:b/>
          <w:bCs/>
          <w:szCs w:val="24"/>
          <w:lang w:val="zh-CN"/>
        </w:rPr>
      </w:sdtEndPr>
      <w:sdtContent>
        <w:p w14:paraId="2AD77179">
          <w:pPr>
            <w:pStyle w:val="23"/>
            <w:spacing w:before="78" w:after="78"/>
            <w:rPr>
              <w:rFonts w:asciiTheme="minorHAnsi" w:hAnsiTheme="minorHAnsi" w:eastAsiaTheme="minorEastAsia" w:cstheme="minorBidi"/>
              <w:szCs w:val="22"/>
            </w:rPr>
          </w:pPr>
          <w:r>
            <w:rPr>
              <w:rFonts w:asciiTheme="majorHAnsi" w:hAnsiTheme="majorHAnsi" w:eastAsiaTheme="majorEastAsia" w:cstheme="majorBidi"/>
              <w:color w:val="2F5597" w:themeColor="accent1" w:themeShade="BF"/>
              <w:kern w:val="0"/>
              <w:sz w:val="32"/>
              <w:szCs w:val="32"/>
            </w:rPr>
            <w:fldChar w:fldCharType="begin"/>
          </w:r>
          <w:r>
            <w:instrText xml:space="preserve"> TOC \o "1-3" \h \z \u </w:instrText>
          </w:r>
          <w:r>
            <w:rPr>
              <w:rFonts w:asciiTheme="majorHAnsi" w:hAnsiTheme="majorHAnsi" w:eastAsiaTheme="majorEastAsia" w:cstheme="majorBidi"/>
              <w:color w:val="2F5597" w:themeColor="accent1" w:themeShade="BF"/>
              <w:kern w:val="0"/>
              <w:sz w:val="32"/>
              <w:szCs w:val="32"/>
            </w:rPr>
            <w:fldChar w:fldCharType="separate"/>
          </w:r>
          <w:r>
            <w:fldChar w:fldCharType="begin"/>
          </w:r>
          <w:r>
            <w:instrText xml:space="preserve"> HYPERLINK \l "_Toc225759303" </w:instrText>
          </w:r>
          <w:r>
            <w:fldChar w:fldCharType="separate"/>
          </w:r>
          <w:r>
            <w:rPr>
              <w:rStyle w:val="41"/>
              <w:rFonts w:hint="eastAsia"/>
            </w:rPr>
            <w:t>前</w:t>
          </w:r>
          <w:r>
            <w:rPr>
              <w:rStyle w:val="41"/>
              <w:rFonts w:ascii="MS Mincho" w:hAnsi="MS Mincho" w:eastAsia="MS Mincho" w:cs="MS Mincho"/>
            </w:rPr>
            <w:t>  </w:t>
          </w:r>
          <w:r>
            <w:rPr>
              <w:rStyle w:val="41"/>
              <w:rFonts w:hint="eastAsia"/>
            </w:rPr>
            <w:t>言</w:t>
          </w:r>
          <w:r>
            <w:tab/>
          </w:r>
          <w:r>
            <w:fldChar w:fldCharType="begin"/>
          </w:r>
          <w:r>
            <w:instrText xml:space="preserve"> PAGEREF _Toc225759303 \h </w:instrText>
          </w:r>
          <w:r>
            <w:fldChar w:fldCharType="separate"/>
          </w:r>
          <w:r>
            <w:t>II</w:t>
          </w:r>
          <w:r>
            <w:fldChar w:fldCharType="end"/>
          </w:r>
          <w:r>
            <w:fldChar w:fldCharType="end"/>
          </w:r>
        </w:p>
        <w:p w14:paraId="6CDF68C5">
          <w:pPr>
            <w:pStyle w:val="32"/>
            <w:rPr>
              <w:rFonts w:asciiTheme="minorHAnsi" w:hAnsiTheme="minorHAnsi" w:eastAsiaTheme="minorEastAsia" w:cstheme="minorBidi"/>
              <w:szCs w:val="22"/>
            </w:rPr>
          </w:pPr>
          <w:r>
            <w:fldChar w:fldCharType="begin"/>
          </w:r>
          <w:r>
            <w:instrText xml:space="preserve"> HYPERLINK \l "_Toc225759304" </w:instrText>
          </w:r>
          <w:r>
            <w:fldChar w:fldCharType="separate"/>
          </w:r>
          <w:r>
            <w:rPr>
              <w:rStyle w:val="41"/>
            </w:rPr>
            <w:t>1</w:t>
          </w:r>
          <w:r>
            <w:rPr>
              <w:rStyle w:val="41"/>
              <w:rFonts w:hint="eastAsia"/>
            </w:rPr>
            <w:t xml:space="preserve"> 范围</w:t>
          </w:r>
          <w:r>
            <w:tab/>
          </w:r>
          <w:r>
            <w:fldChar w:fldCharType="begin"/>
          </w:r>
          <w:r>
            <w:instrText xml:space="preserve"> PAGEREF _Toc225759304 \h </w:instrText>
          </w:r>
          <w:r>
            <w:fldChar w:fldCharType="separate"/>
          </w:r>
          <w:r>
            <w:t>1</w:t>
          </w:r>
          <w:r>
            <w:fldChar w:fldCharType="end"/>
          </w:r>
          <w:r>
            <w:fldChar w:fldCharType="end"/>
          </w:r>
        </w:p>
        <w:p w14:paraId="21BE796E">
          <w:pPr>
            <w:pStyle w:val="32"/>
            <w:rPr>
              <w:rFonts w:asciiTheme="minorHAnsi" w:hAnsiTheme="minorHAnsi" w:eastAsiaTheme="minorEastAsia" w:cstheme="minorBidi"/>
              <w:szCs w:val="22"/>
            </w:rPr>
          </w:pPr>
          <w:r>
            <w:fldChar w:fldCharType="begin"/>
          </w:r>
          <w:r>
            <w:instrText xml:space="preserve"> HYPERLINK \l "_Toc225759305" </w:instrText>
          </w:r>
          <w:r>
            <w:fldChar w:fldCharType="separate"/>
          </w:r>
          <w:r>
            <w:rPr>
              <w:rStyle w:val="41"/>
            </w:rPr>
            <w:t>2</w:t>
          </w:r>
          <w:r>
            <w:rPr>
              <w:rStyle w:val="41"/>
              <w:rFonts w:hint="eastAsia"/>
            </w:rPr>
            <w:t xml:space="preserve"> 规范性引用文件</w:t>
          </w:r>
          <w:r>
            <w:tab/>
          </w:r>
          <w:r>
            <w:fldChar w:fldCharType="begin"/>
          </w:r>
          <w:r>
            <w:instrText xml:space="preserve"> PAGEREF _Toc225759305 \h </w:instrText>
          </w:r>
          <w:r>
            <w:fldChar w:fldCharType="separate"/>
          </w:r>
          <w:r>
            <w:t>1</w:t>
          </w:r>
          <w:r>
            <w:fldChar w:fldCharType="end"/>
          </w:r>
          <w:r>
            <w:fldChar w:fldCharType="end"/>
          </w:r>
        </w:p>
        <w:p w14:paraId="464341F7">
          <w:pPr>
            <w:pStyle w:val="32"/>
            <w:rPr>
              <w:rFonts w:asciiTheme="minorHAnsi" w:hAnsiTheme="minorHAnsi" w:eastAsiaTheme="minorEastAsia" w:cstheme="minorBidi"/>
              <w:szCs w:val="22"/>
            </w:rPr>
          </w:pPr>
          <w:r>
            <w:fldChar w:fldCharType="begin"/>
          </w:r>
          <w:r>
            <w:instrText xml:space="preserve"> HYPERLINK \l "_Toc225759306" </w:instrText>
          </w:r>
          <w:r>
            <w:fldChar w:fldCharType="separate"/>
          </w:r>
          <w:r>
            <w:rPr>
              <w:rStyle w:val="41"/>
            </w:rPr>
            <w:t>3</w:t>
          </w:r>
          <w:r>
            <w:rPr>
              <w:rStyle w:val="41"/>
              <w:rFonts w:hint="eastAsia"/>
            </w:rPr>
            <w:t xml:space="preserve"> 术语和定义</w:t>
          </w:r>
          <w:r>
            <w:tab/>
          </w:r>
          <w:r>
            <w:fldChar w:fldCharType="begin"/>
          </w:r>
          <w:r>
            <w:instrText xml:space="preserve"> PAGEREF _Toc225759306 \h </w:instrText>
          </w:r>
          <w:r>
            <w:fldChar w:fldCharType="separate"/>
          </w:r>
          <w:r>
            <w:t>1</w:t>
          </w:r>
          <w:r>
            <w:fldChar w:fldCharType="end"/>
          </w:r>
          <w:r>
            <w:fldChar w:fldCharType="end"/>
          </w:r>
        </w:p>
        <w:p w14:paraId="64F94C2F">
          <w:pPr>
            <w:pStyle w:val="32"/>
            <w:rPr>
              <w:rFonts w:asciiTheme="minorHAnsi" w:hAnsiTheme="minorHAnsi" w:eastAsiaTheme="minorEastAsia" w:cstheme="minorBidi"/>
              <w:szCs w:val="22"/>
            </w:rPr>
          </w:pPr>
          <w:bookmarkStart w:id="193" w:name="_GoBack"/>
          <w:bookmarkEnd w:id="193"/>
          <w:r>
            <w:fldChar w:fldCharType="begin"/>
          </w:r>
          <w:r>
            <w:instrText xml:space="preserve"> HYPERLINK \l "_Toc225759312" </w:instrText>
          </w:r>
          <w:r>
            <w:fldChar w:fldCharType="separate"/>
          </w:r>
          <w:r>
            <w:rPr>
              <w:rStyle w:val="41"/>
            </w:rPr>
            <w:t>4</w:t>
          </w:r>
          <w:r>
            <w:rPr>
              <w:rStyle w:val="41"/>
              <w:rFonts w:hint="eastAsia"/>
            </w:rPr>
            <w:t xml:space="preserve"> 安全等级和抗震类别</w:t>
          </w:r>
          <w:r>
            <w:tab/>
          </w:r>
          <w:r>
            <w:fldChar w:fldCharType="begin"/>
          </w:r>
          <w:r>
            <w:instrText xml:space="preserve"> PAGEREF _Toc225759312 \h </w:instrText>
          </w:r>
          <w:r>
            <w:fldChar w:fldCharType="separate"/>
          </w:r>
          <w:r>
            <w:t>2</w:t>
          </w:r>
          <w:r>
            <w:fldChar w:fldCharType="end"/>
          </w:r>
          <w:r>
            <w:fldChar w:fldCharType="end"/>
          </w:r>
        </w:p>
        <w:p w14:paraId="736D446E">
          <w:pPr>
            <w:pStyle w:val="32"/>
            <w:rPr>
              <w:rFonts w:asciiTheme="minorHAnsi" w:hAnsiTheme="minorHAnsi" w:eastAsiaTheme="minorEastAsia" w:cstheme="minorBidi"/>
              <w:szCs w:val="22"/>
            </w:rPr>
          </w:pPr>
          <w:r>
            <w:fldChar w:fldCharType="begin"/>
          </w:r>
          <w:r>
            <w:instrText xml:space="preserve"> HYPERLINK \l "_Toc225759313" </w:instrText>
          </w:r>
          <w:r>
            <w:fldChar w:fldCharType="separate"/>
          </w:r>
          <w:r>
            <w:rPr>
              <w:rStyle w:val="41"/>
            </w:rPr>
            <w:t>5</w:t>
          </w:r>
          <w:r>
            <w:rPr>
              <w:rStyle w:val="41"/>
              <w:rFonts w:hint="eastAsia"/>
            </w:rPr>
            <w:t xml:space="preserve"> 功能</w:t>
          </w:r>
          <w:r>
            <w:tab/>
          </w:r>
          <w:r>
            <w:fldChar w:fldCharType="begin"/>
          </w:r>
          <w:r>
            <w:instrText xml:space="preserve"> PAGEREF _Toc225759313 \h </w:instrText>
          </w:r>
          <w:r>
            <w:fldChar w:fldCharType="separate"/>
          </w:r>
          <w:r>
            <w:t>2</w:t>
          </w:r>
          <w:r>
            <w:fldChar w:fldCharType="end"/>
          </w:r>
          <w:r>
            <w:fldChar w:fldCharType="end"/>
          </w:r>
        </w:p>
        <w:p w14:paraId="5A37DCEC">
          <w:pPr>
            <w:pStyle w:val="32"/>
            <w:rPr>
              <w:rFonts w:asciiTheme="minorHAnsi" w:hAnsiTheme="minorHAnsi" w:eastAsiaTheme="minorEastAsia" w:cstheme="minorBidi"/>
              <w:szCs w:val="22"/>
            </w:rPr>
          </w:pPr>
          <w:r>
            <w:fldChar w:fldCharType="begin"/>
          </w:r>
          <w:r>
            <w:instrText xml:space="preserve"> HYPERLINK \l "_Toc225759314" </w:instrText>
          </w:r>
          <w:r>
            <w:fldChar w:fldCharType="separate"/>
          </w:r>
          <w:r>
            <w:rPr>
              <w:rStyle w:val="41"/>
            </w:rPr>
            <w:t>6</w:t>
          </w:r>
          <w:r>
            <w:rPr>
              <w:rStyle w:val="41"/>
              <w:rFonts w:hint="eastAsia"/>
            </w:rPr>
            <w:t xml:space="preserve"> 要求</w:t>
          </w:r>
          <w:r>
            <w:tab/>
          </w:r>
          <w:r>
            <w:fldChar w:fldCharType="begin"/>
          </w:r>
          <w:r>
            <w:instrText xml:space="preserve"> PAGEREF _Toc225759314 \h </w:instrText>
          </w:r>
          <w:r>
            <w:fldChar w:fldCharType="separate"/>
          </w:r>
          <w:r>
            <w:t>3</w:t>
          </w:r>
          <w:r>
            <w:fldChar w:fldCharType="end"/>
          </w:r>
          <w:r>
            <w:fldChar w:fldCharType="end"/>
          </w:r>
        </w:p>
        <w:p w14:paraId="097E16D4">
          <w:pPr>
            <w:pStyle w:val="15"/>
            <w:ind w:firstLine="210"/>
            <w:rPr>
              <w:rFonts w:asciiTheme="minorHAnsi" w:hAnsiTheme="minorHAnsi" w:eastAsiaTheme="minorEastAsia" w:cstheme="minorBidi"/>
              <w:szCs w:val="22"/>
            </w:rPr>
          </w:pPr>
          <w:r>
            <w:fldChar w:fldCharType="begin"/>
          </w:r>
          <w:r>
            <w:instrText xml:space="preserve"> HYPERLINK \l "_Toc225759315" </w:instrText>
          </w:r>
          <w:r>
            <w:fldChar w:fldCharType="separate"/>
          </w:r>
          <w:r>
            <w:rPr>
              <w:rStyle w:val="41"/>
            </w:rPr>
            <w:t>6.1</w:t>
          </w:r>
          <w:r>
            <w:rPr>
              <w:rStyle w:val="41"/>
              <w:rFonts w:hint="eastAsia"/>
            </w:rPr>
            <w:t xml:space="preserve"> 外观要求</w:t>
          </w:r>
          <w:r>
            <w:tab/>
          </w:r>
          <w:r>
            <w:fldChar w:fldCharType="begin"/>
          </w:r>
          <w:r>
            <w:instrText xml:space="preserve"> PAGEREF _Toc225759315 \h </w:instrText>
          </w:r>
          <w:r>
            <w:fldChar w:fldCharType="separate"/>
          </w:r>
          <w:r>
            <w:t>3</w:t>
          </w:r>
          <w:r>
            <w:fldChar w:fldCharType="end"/>
          </w:r>
          <w:r>
            <w:fldChar w:fldCharType="end"/>
          </w:r>
        </w:p>
        <w:p w14:paraId="23B26628">
          <w:pPr>
            <w:pStyle w:val="15"/>
            <w:ind w:firstLine="210"/>
            <w:rPr>
              <w:rFonts w:asciiTheme="minorHAnsi" w:hAnsiTheme="minorHAnsi" w:eastAsiaTheme="minorEastAsia" w:cstheme="minorBidi"/>
              <w:szCs w:val="22"/>
            </w:rPr>
          </w:pPr>
          <w:r>
            <w:fldChar w:fldCharType="begin"/>
          </w:r>
          <w:r>
            <w:instrText xml:space="preserve"> HYPERLINK \l "_Toc225759316" </w:instrText>
          </w:r>
          <w:r>
            <w:fldChar w:fldCharType="separate"/>
          </w:r>
          <w:r>
            <w:rPr>
              <w:rStyle w:val="41"/>
            </w:rPr>
            <w:t>6.2</w:t>
          </w:r>
          <w:r>
            <w:rPr>
              <w:rStyle w:val="41"/>
              <w:rFonts w:hint="eastAsia"/>
            </w:rPr>
            <w:t xml:space="preserve"> 材料要求</w:t>
          </w:r>
          <w:r>
            <w:tab/>
          </w:r>
          <w:r>
            <w:fldChar w:fldCharType="begin"/>
          </w:r>
          <w:r>
            <w:instrText xml:space="preserve"> PAGEREF _Toc225759316 \h </w:instrText>
          </w:r>
          <w:r>
            <w:fldChar w:fldCharType="separate"/>
          </w:r>
          <w:r>
            <w:t>3</w:t>
          </w:r>
          <w:r>
            <w:fldChar w:fldCharType="end"/>
          </w:r>
          <w:r>
            <w:fldChar w:fldCharType="end"/>
          </w:r>
        </w:p>
        <w:p w14:paraId="3514B901">
          <w:pPr>
            <w:pStyle w:val="15"/>
            <w:ind w:firstLine="210"/>
            <w:rPr>
              <w:rFonts w:asciiTheme="minorHAnsi" w:hAnsiTheme="minorHAnsi" w:eastAsiaTheme="minorEastAsia" w:cstheme="minorBidi"/>
              <w:szCs w:val="22"/>
            </w:rPr>
          </w:pPr>
          <w:r>
            <w:fldChar w:fldCharType="begin"/>
          </w:r>
          <w:r>
            <w:instrText xml:space="preserve"> HYPERLINK \l "_Toc225759317" </w:instrText>
          </w:r>
          <w:r>
            <w:fldChar w:fldCharType="separate"/>
          </w:r>
          <w:r>
            <w:rPr>
              <w:rStyle w:val="41"/>
            </w:rPr>
            <w:t>6.3</w:t>
          </w:r>
          <w:r>
            <w:rPr>
              <w:rStyle w:val="41"/>
              <w:rFonts w:hint="eastAsia"/>
            </w:rPr>
            <w:t xml:space="preserve"> 制造要求</w:t>
          </w:r>
          <w:r>
            <w:tab/>
          </w:r>
          <w:r>
            <w:fldChar w:fldCharType="begin"/>
          </w:r>
          <w:r>
            <w:instrText xml:space="preserve"> PAGEREF _Toc225759317 \h </w:instrText>
          </w:r>
          <w:r>
            <w:fldChar w:fldCharType="separate"/>
          </w:r>
          <w:r>
            <w:t>3</w:t>
          </w:r>
          <w:r>
            <w:fldChar w:fldCharType="end"/>
          </w:r>
          <w:r>
            <w:fldChar w:fldCharType="end"/>
          </w:r>
        </w:p>
        <w:p w14:paraId="4DB90E2A">
          <w:pPr>
            <w:pStyle w:val="15"/>
            <w:ind w:firstLine="210"/>
            <w:rPr>
              <w:rFonts w:asciiTheme="minorHAnsi" w:hAnsiTheme="minorHAnsi" w:eastAsiaTheme="minorEastAsia" w:cstheme="minorBidi"/>
              <w:szCs w:val="22"/>
            </w:rPr>
          </w:pPr>
          <w:r>
            <w:fldChar w:fldCharType="begin"/>
          </w:r>
          <w:r>
            <w:instrText xml:space="preserve"> HYPERLINK \l "_Toc225759318" </w:instrText>
          </w:r>
          <w:r>
            <w:fldChar w:fldCharType="separate"/>
          </w:r>
          <w:r>
            <w:rPr>
              <w:rStyle w:val="41"/>
            </w:rPr>
            <w:t>6.4</w:t>
          </w:r>
          <w:r>
            <w:rPr>
              <w:rStyle w:val="41"/>
              <w:rFonts w:hint="eastAsia"/>
            </w:rPr>
            <w:t xml:space="preserve"> 安装要求</w:t>
          </w:r>
          <w:r>
            <w:tab/>
          </w:r>
          <w:r>
            <w:fldChar w:fldCharType="begin"/>
          </w:r>
          <w:r>
            <w:instrText xml:space="preserve"> PAGEREF _Toc225759318 \h </w:instrText>
          </w:r>
          <w:r>
            <w:fldChar w:fldCharType="separate"/>
          </w:r>
          <w:r>
            <w:t>3</w:t>
          </w:r>
          <w:r>
            <w:fldChar w:fldCharType="end"/>
          </w:r>
          <w:r>
            <w:fldChar w:fldCharType="end"/>
          </w:r>
        </w:p>
        <w:p w14:paraId="7A8FC080">
          <w:pPr>
            <w:pStyle w:val="15"/>
            <w:ind w:firstLine="210"/>
            <w:rPr>
              <w:rFonts w:asciiTheme="minorHAnsi" w:hAnsiTheme="minorHAnsi" w:eastAsiaTheme="minorEastAsia" w:cstheme="minorBidi"/>
              <w:szCs w:val="22"/>
            </w:rPr>
          </w:pPr>
          <w:r>
            <w:fldChar w:fldCharType="begin"/>
          </w:r>
          <w:r>
            <w:instrText xml:space="preserve"> HYPERLINK \l "_Toc225759319" </w:instrText>
          </w:r>
          <w:r>
            <w:fldChar w:fldCharType="separate"/>
          </w:r>
          <w:r>
            <w:rPr>
              <w:rStyle w:val="41"/>
            </w:rPr>
            <w:t>6.5</w:t>
          </w:r>
          <w:r>
            <w:rPr>
              <w:rStyle w:val="41"/>
              <w:rFonts w:hint="eastAsia"/>
            </w:rPr>
            <w:t xml:space="preserve"> 电气安全要求</w:t>
          </w:r>
          <w:r>
            <w:tab/>
          </w:r>
          <w:r>
            <w:fldChar w:fldCharType="begin"/>
          </w:r>
          <w:r>
            <w:instrText xml:space="preserve"> PAGEREF _Toc225759319 \h </w:instrText>
          </w:r>
          <w:r>
            <w:fldChar w:fldCharType="separate"/>
          </w:r>
          <w:r>
            <w:t>4</w:t>
          </w:r>
          <w:r>
            <w:fldChar w:fldCharType="end"/>
          </w:r>
          <w:r>
            <w:fldChar w:fldCharType="end"/>
          </w:r>
        </w:p>
        <w:p w14:paraId="3456390D">
          <w:pPr>
            <w:pStyle w:val="32"/>
            <w:rPr>
              <w:rFonts w:asciiTheme="minorHAnsi" w:hAnsiTheme="minorHAnsi" w:eastAsiaTheme="minorEastAsia" w:cstheme="minorBidi"/>
              <w:szCs w:val="22"/>
            </w:rPr>
          </w:pPr>
          <w:r>
            <w:fldChar w:fldCharType="begin"/>
          </w:r>
          <w:r>
            <w:instrText xml:space="preserve"> HYPERLINK \l "_Toc225759320" </w:instrText>
          </w:r>
          <w:r>
            <w:fldChar w:fldCharType="separate"/>
          </w:r>
          <w:r>
            <w:rPr>
              <w:rStyle w:val="41"/>
            </w:rPr>
            <w:t>7</w:t>
          </w:r>
          <w:r>
            <w:rPr>
              <w:rStyle w:val="41"/>
              <w:rFonts w:hint="eastAsia"/>
            </w:rPr>
            <w:t xml:space="preserve"> 试验方法</w:t>
          </w:r>
          <w:r>
            <w:tab/>
          </w:r>
          <w:r>
            <w:fldChar w:fldCharType="begin"/>
          </w:r>
          <w:r>
            <w:instrText xml:space="preserve"> PAGEREF _Toc225759320 \h </w:instrText>
          </w:r>
          <w:r>
            <w:fldChar w:fldCharType="separate"/>
          </w:r>
          <w:r>
            <w:t>4</w:t>
          </w:r>
          <w:r>
            <w:fldChar w:fldCharType="end"/>
          </w:r>
          <w:r>
            <w:fldChar w:fldCharType="end"/>
          </w:r>
        </w:p>
        <w:p w14:paraId="2895B013">
          <w:pPr>
            <w:pStyle w:val="15"/>
            <w:ind w:firstLine="210"/>
            <w:rPr>
              <w:rFonts w:asciiTheme="minorHAnsi" w:hAnsiTheme="minorHAnsi" w:eastAsiaTheme="minorEastAsia" w:cstheme="minorBidi"/>
              <w:szCs w:val="22"/>
            </w:rPr>
          </w:pPr>
          <w:r>
            <w:fldChar w:fldCharType="begin"/>
          </w:r>
          <w:r>
            <w:instrText xml:space="preserve"> HYPERLINK \l "_Toc225759321" </w:instrText>
          </w:r>
          <w:r>
            <w:fldChar w:fldCharType="separate"/>
          </w:r>
          <w:r>
            <w:rPr>
              <w:rStyle w:val="41"/>
            </w:rPr>
            <w:t>7.1</w:t>
          </w:r>
          <w:r>
            <w:rPr>
              <w:rStyle w:val="41"/>
              <w:rFonts w:hint="eastAsia"/>
            </w:rPr>
            <w:t xml:space="preserve"> 尺寸检查</w:t>
          </w:r>
          <w:r>
            <w:tab/>
          </w:r>
          <w:r>
            <w:fldChar w:fldCharType="begin"/>
          </w:r>
          <w:r>
            <w:instrText xml:space="preserve"> PAGEREF _Toc225759321 \h </w:instrText>
          </w:r>
          <w:r>
            <w:fldChar w:fldCharType="separate"/>
          </w:r>
          <w:r>
            <w:t>4</w:t>
          </w:r>
          <w:r>
            <w:fldChar w:fldCharType="end"/>
          </w:r>
          <w:r>
            <w:fldChar w:fldCharType="end"/>
          </w:r>
        </w:p>
        <w:p w14:paraId="59ECF109">
          <w:pPr>
            <w:pStyle w:val="15"/>
            <w:ind w:firstLine="210"/>
            <w:rPr>
              <w:rFonts w:asciiTheme="minorHAnsi" w:hAnsiTheme="minorHAnsi" w:eastAsiaTheme="minorEastAsia" w:cstheme="minorBidi"/>
              <w:szCs w:val="22"/>
            </w:rPr>
          </w:pPr>
          <w:r>
            <w:fldChar w:fldCharType="begin"/>
          </w:r>
          <w:r>
            <w:instrText xml:space="preserve"> HYPERLINK \l "_Toc225759322" </w:instrText>
          </w:r>
          <w:r>
            <w:fldChar w:fldCharType="separate"/>
          </w:r>
          <w:r>
            <w:rPr>
              <w:rStyle w:val="41"/>
            </w:rPr>
            <w:t>7.2</w:t>
          </w:r>
          <w:r>
            <w:rPr>
              <w:rStyle w:val="41"/>
              <w:rFonts w:hint="eastAsia"/>
            </w:rPr>
            <w:t xml:space="preserve"> 外观检查</w:t>
          </w:r>
          <w:r>
            <w:tab/>
          </w:r>
          <w:r>
            <w:fldChar w:fldCharType="begin"/>
          </w:r>
          <w:r>
            <w:instrText xml:space="preserve"> PAGEREF _Toc225759322 \h </w:instrText>
          </w:r>
          <w:r>
            <w:fldChar w:fldCharType="separate"/>
          </w:r>
          <w:r>
            <w:t>4</w:t>
          </w:r>
          <w:r>
            <w:fldChar w:fldCharType="end"/>
          </w:r>
          <w:r>
            <w:fldChar w:fldCharType="end"/>
          </w:r>
        </w:p>
        <w:p w14:paraId="0D119353">
          <w:pPr>
            <w:pStyle w:val="15"/>
            <w:ind w:firstLine="210"/>
            <w:rPr>
              <w:rFonts w:asciiTheme="minorHAnsi" w:hAnsiTheme="minorHAnsi" w:eastAsiaTheme="minorEastAsia" w:cstheme="minorBidi"/>
              <w:szCs w:val="22"/>
            </w:rPr>
          </w:pPr>
          <w:r>
            <w:fldChar w:fldCharType="begin"/>
          </w:r>
          <w:r>
            <w:instrText xml:space="preserve"> HYPERLINK \l "_Toc225759323" </w:instrText>
          </w:r>
          <w:r>
            <w:fldChar w:fldCharType="separate"/>
          </w:r>
          <w:r>
            <w:rPr>
              <w:rStyle w:val="41"/>
            </w:rPr>
            <w:t>7.3</w:t>
          </w:r>
          <w:r>
            <w:rPr>
              <w:rStyle w:val="41"/>
              <w:rFonts w:hint="eastAsia"/>
            </w:rPr>
            <w:t xml:space="preserve"> 绝缘电阻试验</w:t>
          </w:r>
          <w:r>
            <w:tab/>
          </w:r>
          <w:r>
            <w:fldChar w:fldCharType="begin"/>
          </w:r>
          <w:r>
            <w:instrText xml:space="preserve"> PAGEREF _Toc225759323 \h </w:instrText>
          </w:r>
          <w:r>
            <w:fldChar w:fldCharType="separate"/>
          </w:r>
          <w:r>
            <w:t>4</w:t>
          </w:r>
          <w:r>
            <w:fldChar w:fldCharType="end"/>
          </w:r>
          <w:r>
            <w:fldChar w:fldCharType="end"/>
          </w:r>
        </w:p>
        <w:p w14:paraId="3E9EA8AF">
          <w:pPr>
            <w:pStyle w:val="15"/>
            <w:ind w:firstLine="210"/>
            <w:rPr>
              <w:rFonts w:asciiTheme="minorHAnsi" w:hAnsiTheme="minorHAnsi" w:eastAsiaTheme="minorEastAsia" w:cstheme="minorBidi"/>
              <w:szCs w:val="22"/>
            </w:rPr>
          </w:pPr>
          <w:r>
            <w:fldChar w:fldCharType="begin"/>
          </w:r>
          <w:r>
            <w:instrText xml:space="preserve"> HYPERLINK \l "_Toc225759324" </w:instrText>
          </w:r>
          <w:r>
            <w:fldChar w:fldCharType="separate"/>
          </w:r>
          <w:r>
            <w:rPr>
              <w:rStyle w:val="41"/>
            </w:rPr>
            <w:t>7.4</w:t>
          </w:r>
          <w:r>
            <w:rPr>
              <w:rStyle w:val="41"/>
              <w:rFonts w:hint="eastAsia"/>
            </w:rPr>
            <w:t xml:space="preserve"> 交流耐压试验</w:t>
          </w:r>
          <w:r>
            <w:tab/>
          </w:r>
          <w:r>
            <w:fldChar w:fldCharType="begin"/>
          </w:r>
          <w:r>
            <w:instrText xml:space="preserve"> PAGEREF _Toc225759324 \h </w:instrText>
          </w:r>
          <w:r>
            <w:fldChar w:fldCharType="separate"/>
          </w:r>
          <w:r>
            <w:t>4</w:t>
          </w:r>
          <w:r>
            <w:fldChar w:fldCharType="end"/>
          </w:r>
          <w:r>
            <w:fldChar w:fldCharType="end"/>
          </w:r>
        </w:p>
        <w:p w14:paraId="77822369">
          <w:pPr>
            <w:pStyle w:val="15"/>
            <w:ind w:firstLine="210"/>
            <w:rPr>
              <w:rFonts w:asciiTheme="minorHAnsi" w:hAnsiTheme="minorHAnsi" w:eastAsiaTheme="minorEastAsia" w:cstheme="minorBidi"/>
              <w:szCs w:val="22"/>
            </w:rPr>
          </w:pPr>
          <w:r>
            <w:fldChar w:fldCharType="begin"/>
          </w:r>
          <w:r>
            <w:instrText xml:space="preserve"> HYPERLINK \l "_Toc225759325" </w:instrText>
          </w:r>
          <w:r>
            <w:fldChar w:fldCharType="separate"/>
          </w:r>
          <w:r>
            <w:rPr>
              <w:rStyle w:val="41"/>
            </w:rPr>
            <w:t>7.5</w:t>
          </w:r>
          <w:r>
            <w:rPr>
              <w:rStyle w:val="41"/>
              <w:rFonts w:hint="eastAsia"/>
            </w:rPr>
            <w:t xml:space="preserve"> 保护接地试验</w:t>
          </w:r>
          <w:r>
            <w:tab/>
          </w:r>
          <w:r>
            <w:fldChar w:fldCharType="begin"/>
          </w:r>
          <w:r>
            <w:instrText xml:space="preserve"> PAGEREF _Toc225759325 \h </w:instrText>
          </w:r>
          <w:r>
            <w:fldChar w:fldCharType="separate"/>
          </w:r>
          <w:r>
            <w:t>4</w:t>
          </w:r>
          <w:r>
            <w:fldChar w:fldCharType="end"/>
          </w:r>
          <w:r>
            <w:fldChar w:fldCharType="end"/>
          </w:r>
        </w:p>
        <w:p w14:paraId="285D6EAE">
          <w:pPr>
            <w:pStyle w:val="15"/>
            <w:ind w:firstLine="210"/>
            <w:rPr>
              <w:rFonts w:asciiTheme="minorHAnsi" w:hAnsiTheme="minorHAnsi" w:eastAsiaTheme="minorEastAsia" w:cstheme="minorBidi"/>
              <w:szCs w:val="22"/>
            </w:rPr>
          </w:pPr>
          <w:r>
            <w:fldChar w:fldCharType="begin"/>
          </w:r>
          <w:r>
            <w:instrText xml:space="preserve"> HYPERLINK \l "_Toc225759326" </w:instrText>
          </w:r>
          <w:r>
            <w:fldChar w:fldCharType="separate"/>
          </w:r>
          <w:r>
            <w:rPr>
              <w:rStyle w:val="41"/>
            </w:rPr>
            <w:t>7.6</w:t>
          </w:r>
          <w:r>
            <w:rPr>
              <w:rStyle w:val="41"/>
              <w:rFonts w:hint="eastAsia"/>
            </w:rPr>
            <w:t xml:space="preserve"> 柜门开关试验</w:t>
          </w:r>
          <w:r>
            <w:tab/>
          </w:r>
          <w:r>
            <w:fldChar w:fldCharType="begin"/>
          </w:r>
          <w:r>
            <w:instrText xml:space="preserve"> PAGEREF _Toc225759326 \h </w:instrText>
          </w:r>
          <w:r>
            <w:fldChar w:fldCharType="separate"/>
          </w:r>
          <w:r>
            <w:t>4</w:t>
          </w:r>
          <w:r>
            <w:fldChar w:fldCharType="end"/>
          </w:r>
          <w:r>
            <w:fldChar w:fldCharType="end"/>
          </w:r>
        </w:p>
        <w:p w14:paraId="68E9B7A5">
          <w:pPr>
            <w:pStyle w:val="32"/>
            <w:rPr>
              <w:rFonts w:asciiTheme="minorHAnsi" w:hAnsiTheme="minorHAnsi" w:eastAsiaTheme="minorEastAsia" w:cstheme="minorBidi"/>
              <w:szCs w:val="22"/>
            </w:rPr>
          </w:pPr>
          <w:r>
            <w:fldChar w:fldCharType="begin"/>
          </w:r>
          <w:r>
            <w:instrText xml:space="preserve"> HYPERLINK \l "_Toc225759327" </w:instrText>
          </w:r>
          <w:r>
            <w:fldChar w:fldCharType="separate"/>
          </w:r>
          <w:r>
            <w:rPr>
              <w:rStyle w:val="41"/>
            </w:rPr>
            <w:t>8</w:t>
          </w:r>
          <w:r>
            <w:rPr>
              <w:rStyle w:val="41"/>
              <w:rFonts w:hint="eastAsia"/>
            </w:rPr>
            <w:t xml:space="preserve"> 检验规则</w:t>
          </w:r>
          <w:r>
            <w:tab/>
          </w:r>
          <w:r>
            <w:fldChar w:fldCharType="begin"/>
          </w:r>
          <w:r>
            <w:instrText xml:space="preserve"> PAGEREF _Toc225759327 \h </w:instrText>
          </w:r>
          <w:r>
            <w:fldChar w:fldCharType="separate"/>
          </w:r>
          <w:r>
            <w:t>4</w:t>
          </w:r>
          <w:r>
            <w:fldChar w:fldCharType="end"/>
          </w:r>
          <w:r>
            <w:fldChar w:fldCharType="end"/>
          </w:r>
        </w:p>
        <w:p w14:paraId="6320D282">
          <w:pPr>
            <w:pStyle w:val="15"/>
            <w:ind w:firstLine="210"/>
            <w:rPr>
              <w:rFonts w:asciiTheme="minorHAnsi" w:hAnsiTheme="minorHAnsi" w:eastAsiaTheme="minorEastAsia" w:cstheme="minorBidi"/>
              <w:szCs w:val="22"/>
            </w:rPr>
          </w:pPr>
          <w:r>
            <w:fldChar w:fldCharType="begin"/>
          </w:r>
          <w:r>
            <w:instrText xml:space="preserve"> HYPERLINK \l "_Toc225759328" </w:instrText>
          </w:r>
          <w:r>
            <w:fldChar w:fldCharType="separate"/>
          </w:r>
          <w:r>
            <w:rPr>
              <w:rStyle w:val="41"/>
            </w:rPr>
            <w:t>8.1</w:t>
          </w:r>
          <w:r>
            <w:rPr>
              <w:rStyle w:val="41"/>
              <w:rFonts w:hint="eastAsia"/>
            </w:rPr>
            <w:t xml:space="preserve"> 检验类别</w:t>
          </w:r>
          <w:r>
            <w:tab/>
          </w:r>
          <w:r>
            <w:fldChar w:fldCharType="begin"/>
          </w:r>
          <w:r>
            <w:instrText xml:space="preserve"> PAGEREF _Toc225759328 \h </w:instrText>
          </w:r>
          <w:r>
            <w:fldChar w:fldCharType="separate"/>
          </w:r>
          <w:r>
            <w:t>4</w:t>
          </w:r>
          <w:r>
            <w:fldChar w:fldCharType="end"/>
          </w:r>
          <w:r>
            <w:fldChar w:fldCharType="end"/>
          </w:r>
        </w:p>
        <w:p w14:paraId="64E8A275">
          <w:pPr>
            <w:pStyle w:val="15"/>
            <w:ind w:firstLine="210"/>
            <w:rPr>
              <w:rFonts w:asciiTheme="minorHAnsi" w:hAnsiTheme="minorHAnsi" w:eastAsiaTheme="minorEastAsia" w:cstheme="minorBidi"/>
              <w:szCs w:val="22"/>
            </w:rPr>
          </w:pPr>
          <w:r>
            <w:fldChar w:fldCharType="begin"/>
          </w:r>
          <w:r>
            <w:instrText xml:space="preserve"> HYPERLINK \l "_Toc225759329" </w:instrText>
          </w:r>
          <w:r>
            <w:fldChar w:fldCharType="separate"/>
          </w:r>
          <w:r>
            <w:rPr>
              <w:rStyle w:val="41"/>
            </w:rPr>
            <w:t>8.2</w:t>
          </w:r>
          <w:r>
            <w:rPr>
              <w:rStyle w:val="41"/>
              <w:rFonts w:hint="eastAsia"/>
            </w:rPr>
            <w:t xml:space="preserve"> 出厂检验</w:t>
          </w:r>
          <w:r>
            <w:tab/>
          </w:r>
          <w:r>
            <w:fldChar w:fldCharType="begin"/>
          </w:r>
          <w:r>
            <w:instrText xml:space="preserve"> PAGEREF _Toc225759329 \h </w:instrText>
          </w:r>
          <w:r>
            <w:fldChar w:fldCharType="separate"/>
          </w:r>
          <w:r>
            <w:t>5</w:t>
          </w:r>
          <w:r>
            <w:fldChar w:fldCharType="end"/>
          </w:r>
          <w:r>
            <w:fldChar w:fldCharType="end"/>
          </w:r>
        </w:p>
        <w:p w14:paraId="1311DD19">
          <w:pPr>
            <w:pStyle w:val="15"/>
            <w:ind w:firstLine="210"/>
            <w:rPr>
              <w:rFonts w:asciiTheme="minorHAnsi" w:hAnsiTheme="minorHAnsi" w:eastAsiaTheme="minorEastAsia" w:cstheme="minorBidi"/>
              <w:szCs w:val="22"/>
            </w:rPr>
          </w:pPr>
          <w:r>
            <w:fldChar w:fldCharType="begin"/>
          </w:r>
          <w:r>
            <w:instrText xml:space="preserve"> HYPERLINK \l "_Toc225759330" </w:instrText>
          </w:r>
          <w:r>
            <w:fldChar w:fldCharType="separate"/>
          </w:r>
          <w:r>
            <w:rPr>
              <w:rStyle w:val="41"/>
            </w:rPr>
            <w:t>8.3</w:t>
          </w:r>
          <w:r>
            <w:rPr>
              <w:rStyle w:val="41"/>
              <w:rFonts w:hint="eastAsia"/>
            </w:rPr>
            <w:t xml:space="preserve"> 型式检验</w:t>
          </w:r>
          <w:r>
            <w:tab/>
          </w:r>
          <w:r>
            <w:fldChar w:fldCharType="begin"/>
          </w:r>
          <w:r>
            <w:instrText xml:space="preserve"> PAGEREF _Toc225759330 \h </w:instrText>
          </w:r>
          <w:r>
            <w:fldChar w:fldCharType="separate"/>
          </w:r>
          <w:r>
            <w:t>5</w:t>
          </w:r>
          <w:r>
            <w:fldChar w:fldCharType="end"/>
          </w:r>
          <w:r>
            <w:fldChar w:fldCharType="end"/>
          </w:r>
        </w:p>
        <w:p w14:paraId="2BAB8D64">
          <w:pPr>
            <w:pStyle w:val="32"/>
            <w:rPr>
              <w:rFonts w:asciiTheme="minorHAnsi" w:hAnsiTheme="minorHAnsi" w:eastAsiaTheme="minorEastAsia" w:cstheme="minorBidi"/>
              <w:szCs w:val="22"/>
            </w:rPr>
          </w:pPr>
          <w:r>
            <w:fldChar w:fldCharType="begin"/>
          </w:r>
          <w:r>
            <w:instrText xml:space="preserve"> HYPERLINK \l "_Toc225759331" </w:instrText>
          </w:r>
          <w:r>
            <w:fldChar w:fldCharType="separate"/>
          </w:r>
          <w:r>
            <w:rPr>
              <w:rStyle w:val="41"/>
            </w:rPr>
            <w:t>9</w:t>
          </w:r>
          <w:r>
            <w:rPr>
              <w:rStyle w:val="41"/>
              <w:rFonts w:hint="eastAsia"/>
            </w:rPr>
            <w:t xml:space="preserve"> 标志、包装、运输和贮存</w:t>
          </w:r>
          <w:r>
            <w:tab/>
          </w:r>
          <w:r>
            <w:fldChar w:fldCharType="begin"/>
          </w:r>
          <w:r>
            <w:instrText xml:space="preserve"> PAGEREF _Toc225759331 \h </w:instrText>
          </w:r>
          <w:r>
            <w:fldChar w:fldCharType="separate"/>
          </w:r>
          <w:r>
            <w:t>5</w:t>
          </w:r>
          <w:r>
            <w:fldChar w:fldCharType="end"/>
          </w:r>
          <w:r>
            <w:fldChar w:fldCharType="end"/>
          </w:r>
        </w:p>
        <w:p w14:paraId="77B77600">
          <w:pPr>
            <w:pStyle w:val="15"/>
            <w:ind w:firstLine="210"/>
            <w:rPr>
              <w:rFonts w:asciiTheme="minorHAnsi" w:hAnsiTheme="minorHAnsi" w:eastAsiaTheme="minorEastAsia" w:cstheme="minorBidi"/>
              <w:szCs w:val="22"/>
            </w:rPr>
          </w:pPr>
          <w:r>
            <w:fldChar w:fldCharType="begin"/>
          </w:r>
          <w:r>
            <w:instrText xml:space="preserve"> HYPERLINK \l "_Toc225759332" </w:instrText>
          </w:r>
          <w:r>
            <w:fldChar w:fldCharType="separate"/>
          </w:r>
          <w:r>
            <w:rPr>
              <w:rStyle w:val="41"/>
            </w:rPr>
            <w:t>9.1</w:t>
          </w:r>
          <w:r>
            <w:rPr>
              <w:rStyle w:val="41"/>
              <w:rFonts w:hint="eastAsia"/>
            </w:rPr>
            <w:t xml:space="preserve"> 标志</w:t>
          </w:r>
          <w:r>
            <w:tab/>
          </w:r>
          <w:r>
            <w:fldChar w:fldCharType="begin"/>
          </w:r>
          <w:r>
            <w:instrText xml:space="preserve"> PAGEREF _Toc225759332 \h </w:instrText>
          </w:r>
          <w:r>
            <w:fldChar w:fldCharType="separate"/>
          </w:r>
          <w:r>
            <w:t>5</w:t>
          </w:r>
          <w:r>
            <w:fldChar w:fldCharType="end"/>
          </w:r>
          <w:r>
            <w:fldChar w:fldCharType="end"/>
          </w:r>
        </w:p>
        <w:p w14:paraId="638EF218">
          <w:pPr>
            <w:pStyle w:val="15"/>
            <w:ind w:firstLine="210"/>
            <w:rPr>
              <w:rFonts w:asciiTheme="minorHAnsi" w:hAnsiTheme="minorHAnsi" w:eastAsiaTheme="minorEastAsia" w:cstheme="minorBidi"/>
              <w:szCs w:val="22"/>
            </w:rPr>
          </w:pPr>
          <w:r>
            <w:fldChar w:fldCharType="begin"/>
          </w:r>
          <w:r>
            <w:instrText xml:space="preserve"> HYPERLINK \l "_Toc225759333" </w:instrText>
          </w:r>
          <w:r>
            <w:fldChar w:fldCharType="separate"/>
          </w:r>
          <w:r>
            <w:rPr>
              <w:rStyle w:val="41"/>
            </w:rPr>
            <w:t>9.2</w:t>
          </w:r>
          <w:r>
            <w:rPr>
              <w:rStyle w:val="41"/>
              <w:rFonts w:hint="eastAsia"/>
            </w:rPr>
            <w:t xml:space="preserve"> 包装</w:t>
          </w:r>
          <w:r>
            <w:tab/>
          </w:r>
          <w:r>
            <w:fldChar w:fldCharType="begin"/>
          </w:r>
          <w:r>
            <w:instrText xml:space="preserve"> PAGEREF _Toc225759333 \h </w:instrText>
          </w:r>
          <w:r>
            <w:fldChar w:fldCharType="separate"/>
          </w:r>
          <w:r>
            <w:t>5</w:t>
          </w:r>
          <w:r>
            <w:fldChar w:fldCharType="end"/>
          </w:r>
          <w:r>
            <w:fldChar w:fldCharType="end"/>
          </w:r>
        </w:p>
        <w:p w14:paraId="2DFC6820">
          <w:pPr>
            <w:pStyle w:val="15"/>
            <w:ind w:firstLine="210"/>
            <w:rPr>
              <w:rFonts w:asciiTheme="minorHAnsi" w:hAnsiTheme="minorHAnsi" w:eastAsiaTheme="minorEastAsia" w:cstheme="minorBidi"/>
              <w:szCs w:val="22"/>
            </w:rPr>
          </w:pPr>
          <w:r>
            <w:fldChar w:fldCharType="begin"/>
          </w:r>
          <w:r>
            <w:instrText xml:space="preserve"> HYPERLINK \l "_Toc225759334" </w:instrText>
          </w:r>
          <w:r>
            <w:fldChar w:fldCharType="separate"/>
          </w:r>
          <w:r>
            <w:rPr>
              <w:rStyle w:val="41"/>
            </w:rPr>
            <w:t>9.3</w:t>
          </w:r>
          <w:r>
            <w:rPr>
              <w:rStyle w:val="41"/>
              <w:rFonts w:hint="eastAsia"/>
            </w:rPr>
            <w:t xml:space="preserve"> 运输和贮存</w:t>
          </w:r>
          <w:r>
            <w:tab/>
          </w:r>
          <w:r>
            <w:fldChar w:fldCharType="begin"/>
          </w:r>
          <w:r>
            <w:instrText xml:space="preserve"> PAGEREF _Toc225759334 \h </w:instrText>
          </w:r>
          <w:r>
            <w:fldChar w:fldCharType="separate"/>
          </w:r>
          <w:r>
            <w:t>5</w:t>
          </w:r>
          <w:r>
            <w:fldChar w:fldCharType="end"/>
          </w:r>
          <w:r>
            <w:fldChar w:fldCharType="end"/>
          </w:r>
        </w:p>
        <w:p w14:paraId="7E3160BD">
          <w:pPr>
            <w:tabs>
              <w:tab w:val="right" w:leader="dot" w:pos="9241"/>
            </w:tabs>
            <w:spacing w:before="78" w:after="78"/>
          </w:pPr>
          <w:r>
            <w:rPr>
              <w:b/>
              <w:bCs/>
              <w:lang w:val="zh-CN"/>
            </w:rPr>
            <w:fldChar w:fldCharType="end"/>
          </w:r>
        </w:p>
      </w:sdtContent>
    </w:sdt>
    <w:p w14:paraId="0C56CEFC">
      <w:pPr>
        <w:pStyle w:val="27"/>
      </w:pPr>
    </w:p>
    <w:p w14:paraId="53DDB8E5">
      <w:pPr>
        <w:pStyle w:val="27"/>
      </w:pPr>
    </w:p>
    <w:p w14:paraId="22FCA1F0">
      <w:pPr>
        <w:pStyle w:val="115"/>
      </w:pPr>
      <w:bookmarkStart w:id="6" w:name="_Toc20302068"/>
      <w:bookmarkStart w:id="7" w:name="_Toc225759303"/>
      <w:r>
        <w:rPr>
          <w:rFonts w:hint="eastAsia"/>
        </w:rPr>
        <w:t>前</w:t>
      </w:r>
      <w:bookmarkStart w:id="8" w:name="BKQY"/>
      <w:r>
        <w:rPr>
          <w:rFonts w:hint="eastAsia" w:ascii="MS Mincho" w:hAnsi="MS Mincho" w:eastAsia="MS Mincho" w:cs="MS Mincho"/>
        </w:rPr>
        <w:t>  </w:t>
      </w:r>
      <w:r>
        <w:rPr>
          <w:rFonts w:hint="eastAsia"/>
        </w:rPr>
        <w:t>言</w:t>
      </w:r>
      <w:bookmarkEnd w:id="6"/>
      <w:bookmarkEnd w:id="7"/>
      <w:bookmarkEnd w:id="8"/>
    </w:p>
    <w:p w14:paraId="6ED30F19">
      <w:pPr>
        <w:pStyle w:val="27"/>
      </w:pPr>
      <w:r>
        <w:t>本</w:t>
      </w:r>
      <w:r>
        <w:rPr>
          <w:rFonts w:hint="eastAsia"/>
        </w:rPr>
        <w:t>文件</w:t>
      </w:r>
      <w:r>
        <w:t>按照GB/T 1.1</w:t>
      </w:r>
      <w:r>
        <w:rPr>
          <w:rFonts w:hint="eastAsia"/>
        </w:rPr>
        <w:t>—2020《标准化工作导则 第1部分：标准化文件的结构和起草规则》的规定起草</w:t>
      </w:r>
      <w:r>
        <w:t>。</w:t>
      </w:r>
    </w:p>
    <w:p w14:paraId="160DBBF9">
      <w:pPr>
        <w:pStyle w:val="27"/>
      </w:pPr>
      <w:r>
        <w:rPr>
          <w:rFonts w:hint="eastAsia"/>
        </w:rPr>
        <w:t>请注意本文件的某些内容可能涉及专利。本文件的发布机构不承担识别专利的责任。</w:t>
      </w:r>
    </w:p>
    <w:p w14:paraId="2ADE0701">
      <w:pPr>
        <w:pStyle w:val="27"/>
      </w:pPr>
      <w:r>
        <w:rPr>
          <w:rFonts w:hint="eastAsia"/>
        </w:rPr>
        <w:t>本标准由中国核学会提出。</w:t>
      </w:r>
    </w:p>
    <w:p w14:paraId="75D03043">
      <w:pPr>
        <w:pStyle w:val="27"/>
      </w:pPr>
      <w:r>
        <w:rPr>
          <w:rFonts w:hint="eastAsia"/>
        </w:rPr>
        <w:t>本标准由核工业标准化研究所归口。</w:t>
      </w:r>
    </w:p>
    <w:p w14:paraId="65E95354">
      <w:pPr>
        <w:pStyle w:val="27"/>
      </w:pPr>
      <w:r>
        <w:rPr>
          <w:rFonts w:hint="eastAsia"/>
        </w:rPr>
        <w:t>本标准起草单位：中核能源科技有限公司、清华大学核能与新能源技术研究院。</w:t>
      </w:r>
    </w:p>
    <w:p w14:paraId="1A35B8BC">
      <w:pPr>
        <w:pStyle w:val="27"/>
      </w:pPr>
      <w:r>
        <w:rPr>
          <w:rFonts w:hint="eastAsia"/>
        </w:rPr>
        <w:t>本标准主要起草人：</w:t>
      </w:r>
      <w:r>
        <w:rPr>
          <w:rFonts w:hint="eastAsia" w:ascii="Times New Roman"/>
        </w:rPr>
        <w:t>刘彤、朱江、郭悦彤、蒲洋</w:t>
      </w:r>
      <w:r>
        <w:rPr>
          <w:rFonts w:ascii="Times New Roman"/>
        </w:rPr>
        <w:t>。</w:t>
      </w:r>
    </w:p>
    <w:p w14:paraId="2547FFE2">
      <w:pPr>
        <w:pStyle w:val="27"/>
      </w:pPr>
      <w:r>
        <w:t>本文件为首次发布。</w:t>
      </w:r>
    </w:p>
    <w:p w14:paraId="0F81C412">
      <w:pPr>
        <w:pStyle w:val="27"/>
      </w:pPr>
    </w:p>
    <w:p w14:paraId="4D9E9B08">
      <w:pPr>
        <w:pStyle w:val="27"/>
        <w:ind w:firstLine="0" w:firstLineChars="0"/>
        <w:sectPr>
          <w:headerReference r:id="rId5" w:type="default"/>
          <w:footerReference r:id="rId6" w:type="default"/>
          <w:pgSz w:w="11906" w:h="16838"/>
          <w:pgMar w:top="567" w:right="1134" w:bottom="1134" w:left="1417" w:header="1418" w:footer="1134" w:gutter="0"/>
          <w:pgNumType w:fmt="upperRoman" w:start="1"/>
          <w:cols w:space="425" w:num="1"/>
          <w:formProt w:val="0"/>
          <w:docGrid w:type="lines" w:linePitch="312" w:charSpace="0"/>
        </w:sectPr>
      </w:pPr>
    </w:p>
    <w:p w14:paraId="5915D88D">
      <w:pPr>
        <w:pStyle w:val="27"/>
        <w:ind w:firstLine="640"/>
        <w:jc w:val="center"/>
        <w:rPr>
          <w:rFonts w:ascii="黑体" w:hAnsi="黑体" w:eastAsia="黑体"/>
          <w:sz w:val="32"/>
          <w:szCs w:val="32"/>
        </w:rPr>
      </w:pPr>
      <w:bookmarkStart w:id="9" w:name="_Toc48658962"/>
      <w:r>
        <w:rPr>
          <w:rFonts w:hint="eastAsia" w:ascii="黑体" w:hAnsi="黑体" w:eastAsia="黑体"/>
          <w:sz w:val="32"/>
          <w:szCs w:val="32"/>
        </w:rPr>
        <w:t>高温气冷堆核动力厂</w:t>
      </w:r>
      <w:bookmarkEnd w:id="9"/>
      <w:r>
        <w:rPr>
          <w:rFonts w:ascii="黑体" w:hAnsi="黑体" w:eastAsia="黑体"/>
          <w:sz w:val="32"/>
          <w:szCs w:val="32"/>
        </w:rPr>
        <w:t>用</w:t>
      </w:r>
      <w:r>
        <w:rPr>
          <w:rFonts w:hint="eastAsia" w:ascii="黑体" w:hAnsi="黑体" w:eastAsia="黑体"/>
          <w:sz w:val="32"/>
          <w:szCs w:val="32"/>
        </w:rPr>
        <w:t>负压通风柜</w:t>
      </w:r>
    </w:p>
    <w:p w14:paraId="321C10D9">
      <w:pPr>
        <w:pStyle w:val="48"/>
        <w:rPr>
          <w:szCs w:val="21"/>
        </w:rPr>
      </w:pPr>
      <w:bookmarkStart w:id="10" w:name="_Toc20301579"/>
      <w:bookmarkStart w:id="11" w:name="_Toc20302069"/>
      <w:bookmarkStart w:id="12" w:name="_Toc225759304"/>
      <w:r>
        <w:rPr>
          <w:rFonts w:hint="eastAsia"/>
          <w:szCs w:val="21"/>
        </w:rPr>
        <w:t>范围</w:t>
      </w:r>
      <w:bookmarkEnd w:id="10"/>
      <w:bookmarkEnd w:id="11"/>
      <w:bookmarkEnd w:id="12"/>
    </w:p>
    <w:p w14:paraId="503A4101">
      <w:pPr>
        <w:pStyle w:val="27"/>
        <w:rPr>
          <w:rFonts w:ascii="Times New Roman"/>
        </w:rPr>
      </w:pPr>
      <w:r>
        <w:rPr>
          <w:rFonts w:hint="eastAsia" w:ascii="Times New Roman"/>
        </w:rPr>
        <w:t>本文件</w:t>
      </w:r>
      <w:r>
        <w:rPr>
          <w:rFonts w:ascii="Times New Roman"/>
        </w:rPr>
        <w:t>规定了</w:t>
      </w:r>
      <w:r>
        <w:rPr>
          <w:rFonts w:hint="eastAsia" w:ascii="Times New Roman"/>
        </w:rPr>
        <w:t>球床式高温气冷堆（以下简称：高温气冷堆）核动力厂负压通风柜（以下简称：通风柜）的安全等级和抗震类别、要求、试验方法、检验规则、标志、包装、运输和贮存等</w:t>
      </w:r>
      <w:r>
        <w:rPr>
          <w:rFonts w:ascii="Times New Roman"/>
        </w:rPr>
        <w:t>。</w:t>
      </w:r>
    </w:p>
    <w:p w14:paraId="2B97F6E4">
      <w:pPr>
        <w:pStyle w:val="27"/>
      </w:pPr>
      <w:r>
        <w:rPr>
          <w:rFonts w:ascii="Times New Roman"/>
        </w:rPr>
        <w:t>本</w:t>
      </w:r>
      <w:r>
        <w:rPr>
          <w:rFonts w:hint="eastAsia" w:ascii="Times New Roman"/>
        </w:rPr>
        <w:t>文件</w:t>
      </w:r>
      <w:r>
        <w:rPr>
          <w:rFonts w:ascii="Times New Roman"/>
        </w:rPr>
        <w:t>适用于高温气冷堆核</w:t>
      </w:r>
      <w:r>
        <w:rPr>
          <w:rFonts w:hint="eastAsia" w:ascii="Times New Roman"/>
        </w:rPr>
        <w:t>动力</w:t>
      </w:r>
      <w:r>
        <w:rPr>
          <w:rFonts w:ascii="Times New Roman"/>
        </w:rPr>
        <w:t>厂</w:t>
      </w:r>
      <w:r>
        <w:rPr>
          <w:rFonts w:hint="eastAsia" w:ascii="Times New Roman"/>
        </w:rPr>
        <w:t>气体采样和分析系统的通风柜</w:t>
      </w:r>
      <w:r>
        <w:rPr>
          <w:rFonts w:ascii="Times New Roman"/>
        </w:rPr>
        <w:t>。</w:t>
      </w:r>
    </w:p>
    <w:p w14:paraId="03C1FF6B">
      <w:pPr>
        <w:pStyle w:val="48"/>
        <w:rPr>
          <w:szCs w:val="21"/>
        </w:rPr>
      </w:pPr>
      <w:bookmarkStart w:id="13" w:name="_Toc225759305"/>
      <w:r>
        <w:rPr>
          <w:rFonts w:hint="eastAsia"/>
          <w:szCs w:val="21"/>
        </w:rPr>
        <w:t>规范性引用文件</w:t>
      </w:r>
      <w:bookmarkEnd w:id="13"/>
    </w:p>
    <w:p w14:paraId="491FFE4B">
      <w:pPr>
        <w:pStyle w:val="27"/>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05D0866E">
      <w:pPr>
        <w:pStyle w:val="27"/>
        <w:rPr>
          <w:rFonts w:hint="default" w:ascii="Times New Roman" w:hAnsi="Times New Roman" w:cs="Times New Roman"/>
          <w:szCs w:val="21"/>
        </w:rPr>
      </w:pPr>
      <w:r>
        <w:rPr>
          <w:rFonts w:hint="default" w:ascii="Times New Roman" w:hAnsi="Times New Roman" w:cs="Times New Roman"/>
          <w:szCs w:val="21"/>
        </w:rPr>
        <w:t>GB 825  吊环螺钉</w:t>
      </w:r>
    </w:p>
    <w:p w14:paraId="2A3102BF">
      <w:pPr>
        <w:pStyle w:val="27"/>
        <w:rPr>
          <w:rFonts w:hint="default" w:ascii="Times New Roman" w:hAnsi="Times New Roman" w:cs="Times New Roman"/>
          <w:szCs w:val="21"/>
        </w:rPr>
      </w:pPr>
      <w:r>
        <w:rPr>
          <w:rFonts w:hint="default" w:ascii="Times New Roman" w:hAnsi="Times New Roman" w:cs="Times New Roman"/>
          <w:szCs w:val="21"/>
        </w:rPr>
        <w:t>GB/T 1804-2000  一般公差 未注公差的线性和角度尺寸的公差</w:t>
      </w:r>
    </w:p>
    <w:p w14:paraId="59988B3F">
      <w:pPr>
        <w:pStyle w:val="27"/>
        <w:rPr>
          <w:rFonts w:hint="default" w:ascii="Times New Roman" w:hAnsi="Times New Roman" w:cs="Times New Roman"/>
          <w:szCs w:val="21"/>
        </w:rPr>
      </w:pPr>
      <w:r>
        <w:rPr>
          <w:rFonts w:hint="default" w:ascii="Times New Roman" w:hAnsi="Times New Roman" w:cs="Times New Roman"/>
          <w:szCs w:val="21"/>
        </w:rPr>
        <w:t>GB/T 7251.1  低压成套开关设备和控制设备 第1部分：总则</w:t>
      </w:r>
    </w:p>
    <w:p w14:paraId="7C9B737F">
      <w:pPr>
        <w:pStyle w:val="27"/>
        <w:rPr>
          <w:rFonts w:hint="default" w:ascii="Times New Roman" w:hAnsi="Times New Roman" w:cs="Times New Roman"/>
          <w:szCs w:val="21"/>
        </w:rPr>
      </w:pPr>
      <w:r>
        <w:rPr>
          <w:rFonts w:hint="default" w:ascii="Times New Roman" w:hAnsi="Times New Roman" w:cs="Times New Roman"/>
          <w:szCs w:val="21"/>
        </w:rPr>
        <w:t>GB/T 13306  标牌</w:t>
      </w:r>
    </w:p>
    <w:p w14:paraId="3A9A0E95">
      <w:pPr>
        <w:pStyle w:val="27"/>
        <w:rPr>
          <w:rFonts w:hint="default" w:ascii="Times New Roman" w:hAnsi="Times New Roman" w:cs="Times New Roman"/>
          <w:szCs w:val="21"/>
        </w:rPr>
      </w:pPr>
      <w:r>
        <w:rPr>
          <w:rFonts w:hint="default" w:ascii="Times New Roman" w:hAnsi="Times New Roman" w:cs="Times New Roman"/>
          <w:szCs w:val="21"/>
        </w:rPr>
        <w:t>GB 50231  机械设备安装工程施工及验收通用规范</w:t>
      </w:r>
    </w:p>
    <w:p w14:paraId="38D2B399">
      <w:pPr>
        <w:pStyle w:val="27"/>
        <w:rPr>
          <w:rFonts w:hint="default" w:ascii="Times New Roman" w:hAnsi="Times New Roman" w:cs="Times New Roman"/>
          <w:szCs w:val="21"/>
        </w:rPr>
      </w:pPr>
      <w:r>
        <w:rPr>
          <w:rFonts w:hint="default" w:ascii="Times New Roman" w:hAnsi="Times New Roman" w:cs="Times New Roman"/>
          <w:szCs w:val="21"/>
        </w:rPr>
        <w:t>GB 50236  现场设备、工业管道焊接工程施工规范</w:t>
      </w:r>
    </w:p>
    <w:p w14:paraId="2254A568">
      <w:pPr>
        <w:pStyle w:val="27"/>
        <w:rPr>
          <w:rFonts w:hint="default" w:ascii="Times New Roman" w:hAnsi="Times New Roman" w:cs="Times New Roman"/>
          <w:szCs w:val="21"/>
        </w:rPr>
      </w:pPr>
      <w:r>
        <w:rPr>
          <w:rFonts w:hint="default" w:ascii="Times New Roman" w:hAnsi="Times New Roman" w:cs="Times New Roman"/>
          <w:szCs w:val="21"/>
        </w:rPr>
        <w:t>GB 50683  现场设备、工业管道焊接工程施工质量验收规范</w:t>
      </w:r>
    </w:p>
    <w:p w14:paraId="47B3D69F">
      <w:pPr>
        <w:pStyle w:val="27"/>
        <w:rPr>
          <w:rFonts w:hint="eastAsia"/>
        </w:rPr>
      </w:pPr>
      <w:r>
        <w:rPr>
          <w:rFonts w:hint="default" w:ascii="Times New Roman" w:hAnsi="Times New Roman" w:cs="Times New Roman"/>
          <w:szCs w:val="21"/>
        </w:rPr>
        <w:t>NB</w:t>
      </w:r>
      <w:r>
        <w:rPr>
          <w:rFonts w:hint="eastAsia" w:ascii="Times New Roman" w:hAnsi="Times New Roman" w:cs="Times New Roman"/>
          <w:szCs w:val="21"/>
        </w:rPr>
        <w:t>/T</w:t>
      </w:r>
      <w:r>
        <w:rPr>
          <w:szCs w:val="21"/>
        </w:rPr>
        <w:t xml:space="preserve"> 20408  </w:t>
      </w:r>
      <w:r>
        <w:rPr>
          <w:rFonts w:hint="eastAsia"/>
          <w:szCs w:val="21"/>
        </w:rPr>
        <w:t>核电厂物项包装、运输、装卸、接收、贮存和维护要求</w:t>
      </w:r>
    </w:p>
    <w:p w14:paraId="579F6BA1">
      <w:pPr>
        <w:pStyle w:val="48"/>
        <w:rPr>
          <w:szCs w:val="21"/>
        </w:rPr>
      </w:pPr>
      <w:bookmarkStart w:id="14" w:name="_Toc225759306"/>
      <w:r>
        <w:rPr>
          <w:szCs w:val="21"/>
        </w:rPr>
        <w:t>术语和定义</w:t>
      </w:r>
      <w:bookmarkEnd w:id="14"/>
    </w:p>
    <w:p w14:paraId="60CDE0BC">
      <w:pPr>
        <w:pStyle w:val="27"/>
      </w:pPr>
      <w:r>
        <w:rPr>
          <w:rFonts w:hint="eastAsia"/>
        </w:rPr>
        <w:t>下列术语和定义适用于本文件。</w:t>
      </w:r>
    </w:p>
    <w:p w14:paraId="6CF07389">
      <w:pPr>
        <w:pStyle w:val="27"/>
        <w:spacing w:before="156" w:beforeLines="50" w:after="156" w:afterLines="50"/>
        <w:ind w:firstLine="0" w:firstLineChars="0"/>
        <w:jc w:val="left"/>
        <w:outlineLvl w:val="2"/>
        <w:rPr>
          <w:rFonts w:ascii="黑体" w:hAnsi="黑体" w:eastAsia="黑体"/>
        </w:rPr>
      </w:pPr>
      <w:bookmarkStart w:id="15" w:name="_Toc225759307"/>
      <w:r>
        <w:rPr>
          <w:rFonts w:hint="eastAsia" w:ascii="黑体" w:hAnsi="黑体" w:eastAsia="黑体"/>
        </w:rPr>
        <w:t>3</w:t>
      </w:r>
      <w:r>
        <w:rPr>
          <w:rFonts w:ascii="黑体" w:hAnsi="黑体" w:eastAsia="黑体"/>
        </w:rPr>
        <w:t xml:space="preserve">.1 </w:t>
      </w:r>
    </w:p>
    <w:p w14:paraId="56564895">
      <w:pPr>
        <w:pStyle w:val="27"/>
        <w:spacing w:before="156" w:beforeLines="50" w:after="156" w:afterLines="50"/>
        <w:jc w:val="left"/>
        <w:outlineLvl w:val="2"/>
        <w:rPr>
          <w:rFonts w:ascii="黑体" w:hAnsi="黑体" w:eastAsia="黑体"/>
        </w:rPr>
      </w:pPr>
      <w:r>
        <w:rPr>
          <w:rFonts w:ascii="黑体" w:hAnsi="黑体" w:eastAsia="黑体"/>
        </w:rPr>
        <w:t>通风柜</w:t>
      </w:r>
      <w:r>
        <w:rPr>
          <w:rFonts w:hint="eastAsia" w:ascii="黑体" w:hAnsi="黑体" w:eastAsia="黑体"/>
        </w:rPr>
        <w:t xml:space="preserve">  </w:t>
      </w:r>
      <w:r>
        <w:rPr>
          <w:rFonts w:ascii="黑体" w:hAnsi="黑体" w:eastAsia="黑体"/>
        </w:rPr>
        <w:t>v</w:t>
      </w:r>
      <w:r>
        <w:rPr>
          <w:rFonts w:hint="eastAsia" w:ascii="黑体" w:hAnsi="黑体" w:eastAsia="黑体"/>
        </w:rPr>
        <w:t>entilation cabinet</w:t>
      </w:r>
      <w:bookmarkEnd w:id="15"/>
    </w:p>
    <w:p w14:paraId="78D145F0">
      <w:pPr>
        <w:pStyle w:val="27"/>
        <w:ind w:firstLineChars="0"/>
      </w:pPr>
      <w:r>
        <w:t>对柜状结构内部实施排风的一种保护设施。</w:t>
      </w:r>
    </w:p>
    <w:p w14:paraId="3CE5F1D9">
      <w:pPr>
        <w:pStyle w:val="27"/>
        <w:spacing w:before="156" w:beforeLines="50" w:after="156" w:afterLines="50"/>
        <w:ind w:firstLine="0" w:firstLineChars="0"/>
        <w:jc w:val="left"/>
        <w:outlineLvl w:val="2"/>
        <w:rPr>
          <w:rFonts w:ascii="黑体" w:hAnsi="黑体" w:eastAsia="黑体"/>
        </w:rPr>
      </w:pPr>
      <w:bookmarkStart w:id="16" w:name="_Toc225759308"/>
      <w:r>
        <w:rPr>
          <w:rFonts w:ascii="黑体" w:hAnsi="黑体" w:eastAsia="黑体"/>
        </w:rPr>
        <w:t xml:space="preserve">3.2 </w:t>
      </w:r>
    </w:p>
    <w:p w14:paraId="620C9199">
      <w:pPr>
        <w:pStyle w:val="27"/>
        <w:spacing w:before="156" w:beforeLines="50" w:after="156" w:afterLines="50"/>
        <w:jc w:val="left"/>
        <w:outlineLvl w:val="2"/>
        <w:rPr>
          <w:rFonts w:ascii="黑体" w:hAnsi="黑体" w:eastAsia="黑体"/>
        </w:rPr>
      </w:pPr>
      <w:r>
        <w:rPr>
          <w:rFonts w:ascii="黑体" w:hAnsi="黑体" w:eastAsia="黑体"/>
        </w:rPr>
        <w:t>面风速</w:t>
      </w:r>
      <w:r>
        <w:rPr>
          <w:rFonts w:hint="eastAsia" w:ascii="黑体" w:hAnsi="黑体" w:eastAsia="黑体"/>
        </w:rPr>
        <w:t xml:space="preserve">  </w:t>
      </w:r>
      <w:r>
        <w:rPr>
          <w:rFonts w:ascii="黑体" w:hAnsi="黑体" w:eastAsia="黑体"/>
        </w:rPr>
        <w:t>face velocity</w:t>
      </w:r>
      <w:bookmarkEnd w:id="16"/>
    </w:p>
    <w:p w14:paraId="20CD90B5">
      <w:pPr>
        <w:pStyle w:val="27"/>
        <w:ind w:firstLine="0" w:firstLineChars="0"/>
      </w:pPr>
      <w:r>
        <w:t xml:space="preserve">    评定通风柜柜门开口风速的指标，是空气流过通风柜柜门开口平面的平均风速值。</w:t>
      </w:r>
    </w:p>
    <w:p w14:paraId="4784D64D">
      <w:pPr>
        <w:pStyle w:val="27"/>
        <w:spacing w:before="156" w:beforeLines="50" w:after="156" w:afterLines="50"/>
        <w:ind w:firstLine="0" w:firstLineChars="0"/>
        <w:jc w:val="left"/>
        <w:outlineLvl w:val="2"/>
        <w:rPr>
          <w:rFonts w:ascii="黑体" w:hAnsi="黑体" w:eastAsia="黑体"/>
        </w:rPr>
      </w:pPr>
      <w:bookmarkStart w:id="17" w:name="_Toc225759309"/>
      <w:r>
        <w:rPr>
          <w:rFonts w:ascii="黑体" w:hAnsi="黑体" w:eastAsia="黑体"/>
        </w:rPr>
        <w:t xml:space="preserve">3.3 </w:t>
      </w:r>
    </w:p>
    <w:p w14:paraId="136C37BA">
      <w:pPr>
        <w:pStyle w:val="27"/>
        <w:spacing w:before="156" w:beforeLines="50" w:after="156" w:afterLines="50"/>
        <w:jc w:val="left"/>
        <w:outlineLvl w:val="2"/>
        <w:rPr>
          <w:rFonts w:ascii="黑体" w:hAnsi="黑体" w:eastAsia="黑体"/>
        </w:rPr>
      </w:pPr>
      <w:r>
        <w:rPr>
          <w:rFonts w:ascii="黑体" w:hAnsi="黑体" w:eastAsia="黑体"/>
        </w:rPr>
        <w:t>穿板接头</w:t>
      </w:r>
      <w:r>
        <w:rPr>
          <w:rFonts w:hint="eastAsia" w:ascii="黑体" w:hAnsi="黑体" w:eastAsia="黑体"/>
        </w:rPr>
        <w:t xml:space="preserve">  </w:t>
      </w:r>
      <w:r>
        <w:rPr>
          <w:rFonts w:ascii="黑体" w:hAnsi="黑体" w:eastAsia="黑体"/>
        </w:rPr>
        <w:t>bulkhead fitting</w:t>
      </w:r>
      <w:bookmarkEnd w:id="17"/>
    </w:p>
    <w:p w14:paraId="5D9EA91D">
      <w:pPr>
        <w:pStyle w:val="27"/>
        <w:ind w:firstLineChars="0"/>
      </w:pPr>
      <w:r>
        <w:rPr>
          <w:rFonts w:hint="eastAsia"/>
        </w:rPr>
        <w:t>将管路（气体、液体或电气线路）穿过面板（机柜壁、箱体壁、通风柜侧边等）时，实现内外侧可靠连接并保证密封的机械装置</w:t>
      </w:r>
      <w:r>
        <w:t>。</w:t>
      </w:r>
    </w:p>
    <w:p w14:paraId="650DB78E">
      <w:pPr>
        <w:pStyle w:val="27"/>
        <w:spacing w:before="156" w:beforeLines="50" w:after="156" w:afterLines="50"/>
        <w:ind w:firstLine="0" w:firstLineChars="0"/>
        <w:jc w:val="left"/>
        <w:outlineLvl w:val="2"/>
        <w:rPr>
          <w:rFonts w:ascii="黑体" w:hAnsi="黑体" w:eastAsia="黑体"/>
        </w:rPr>
      </w:pPr>
      <w:bookmarkStart w:id="18" w:name="_Toc225759310"/>
      <w:r>
        <w:rPr>
          <w:rFonts w:ascii="黑体" w:hAnsi="黑体" w:eastAsia="黑体"/>
        </w:rPr>
        <w:t xml:space="preserve">3.4 </w:t>
      </w:r>
    </w:p>
    <w:p w14:paraId="0750F8E9">
      <w:pPr>
        <w:pStyle w:val="27"/>
        <w:spacing w:before="156" w:beforeLines="50" w:after="156" w:afterLines="50"/>
        <w:jc w:val="left"/>
        <w:outlineLvl w:val="2"/>
        <w:rPr>
          <w:rFonts w:ascii="黑体" w:hAnsi="黑体" w:eastAsia="黑体"/>
        </w:rPr>
      </w:pPr>
      <w:r>
        <w:rPr>
          <w:rFonts w:ascii="黑体" w:hAnsi="黑体" w:eastAsia="黑体"/>
        </w:rPr>
        <w:t>补风狭缝</w:t>
      </w:r>
      <w:r>
        <w:rPr>
          <w:rFonts w:hint="eastAsia" w:ascii="黑体" w:hAnsi="黑体" w:eastAsia="黑体"/>
        </w:rPr>
        <w:t xml:space="preserve">  </w:t>
      </w:r>
      <w:r>
        <w:rPr>
          <w:rFonts w:ascii="黑体" w:hAnsi="黑体" w:eastAsia="黑体"/>
        </w:rPr>
        <w:t>make-up air slot</w:t>
      </w:r>
      <w:bookmarkEnd w:id="18"/>
    </w:p>
    <w:p w14:paraId="19D17E15">
      <w:pPr>
        <w:pStyle w:val="27"/>
        <w:ind w:firstLineChars="0"/>
      </w:pPr>
      <w:r>
        <w:rPr>
          <w:rFonts w:hint="eastAsia"/>
        </w:rPr>
        <w:t>通风柜内的一种气流补偿结构，通常位于背面柜门的偏下部位。</w:t>
      </w:r>
    </w:p>
    <w:p w14:paraId="3D3CC2FD">
      <w:pPr>
        <w:pStyle w:val="27"/>
        <w:spacing w:before="156" w:beforeLines="50" w:after="156" w:afterLines="50"/>
        <w:ind w:firstLine="0" w:firstLineChars="0"/>
        <w:jc w:val="left"/>
        <w:outlineLvl w:val="2"/>
        <w:rPr>
          <w:rFonts w:ascii="黑体" w:hAnsi="黑体" w:eastAsia="黑体"/>
        </w:rPr>
      </w:pPr>
      <w:bookmarkStart w:id="19" w:name="_Toc225759311"/>
      <w:r>
        <w:rPr>
          <w:rFonts w:ascii="黑体" w:hAnsi="黑体" w:eastAsia="黑体"/>
        </w:rPr>
        <w:t xml:space="preserve">3.5 </w:t>
      </w:r>
    </w:p>
    <w:p w14:paraId="1DB0AB49">
      <w:pPr>
        <w:pStyle w:val="27"/>
        <w:spacing w:before="156" w:beforeLines="50" w:after="156" w:afterLines="50"/>
        <w:jc w:val="left"/>
        <w:outlineLvl w:val="2"/>
        <w:rPr>
          <w:rFonts w:ascii="黑体" w:hAnsi="黑体" w:eastAsia="黑体"/>
        </w:rPr>
      </w:pPr>
      <w:r>
        <w:rPr>
          <w:rFonts w:ascii="黑体" w:hAnsi="黑体" w:eastAsia="黑体"/>
        </w:rPr>
        <w:t>补风口</w:t>
      </w:r>
      <w:r>
        <w:rPr>
          <w:rFonts w:hint="eastAsia" w:ascii="黑体" w:hAnsi="黑体" w:eastAsia="黑体"/>
        </w:rPr>
        <w:t xml:space="preserve">  </w:t>
      </w:r>
      <w:r>
        <w:rPr>
          <w:rFonts w:ascii="黑体" w:hAnsi="黑体" w:eastAsia="黑体"/>
        </w:rPr>
        <w:t>make-up air inlet</w:t>
      </w:r>
      <w:bookmarkEnd w:id="19"/>
    </w:p>
    <w:p w14:paraId="7AF0E3E0">
      <w:pPr>
        <w:pStyle w:val="27"/>
        <w:ind w:firstLineChars="0"/>
      </w:pPr>
      <w:r>
        <w:rPr>
          <w:rFonts w:hint="eastAsia"/>
        </w:rPr>
        <w:t>与补风狭缝功能相同，是补风狭缝的另一种叫法。</w:t>
      </w:r>
    </w:p>
    <w:p w14:paraId="268A67AA">
      <w:pPr>
        <w:pStyle w:val="48"/>
        <w:rPr>
          <w:szCs w:val="21"/>
        </w:rPr>
      </w:pPr>
      <w:bookmarkStart w:id="20" w:name="_Toc225759312"/>
      <w:r>
        <w:rPr>
          <w:szCs w:val="21"/>
        </w:rPr>
        <w:t>安全等级和抗震类别</w:t>
      </w:r>
      <w:bookmarkEnd w:id="20"/>
    </w:p>
    <w:p w14:paraId="2AA03257">
      <w:pPr>
        <w:pStyle w:val="27"/>
      </w:pPr>
      <w:r>
        <w:t>通风柜为非核安全级、</w:t>
      </w:r>
      <w:r>
        <w:rPr>
          <w:rFonts w:hint="eastAsia"/>
        </w:rPr>
        <w:t>非核</w:t>
      </w:r>
      <w:r>
        <w:t>抗震类设备，</w:t>
      </w:r>
      <w:r>
        <w:rPr>
          <w:rFonts w:hint="eastAsia"/>
        </w:rPr>
        <w:t>无核质量保证要求</w:t>
      </w:r>
      <w:r>
        <w:t>。</w:t>
      </w:r>
    </w:p>
    <w:p w14:paraId="0AE47B13">
      <w:pPr>
        <w:pStyle w:val="48"/>
        <w:rPr>
          <w:szCs w:val="21"/>
        </w:rPr>
      </w:pPr>
      <w:bookmarkStart w:id="21" w:name="_Toc225759313"/>
      <w:r>
        <w:rPr>
          <w:szCs w:val="21"/>
        </w:rPr>
        <w:t>功能</w:t>
      </w:r>
      <w:bookmarkEnd w:id="21"/>
    </w:p>
    <w:p w14:paraId="521457B6">
      <w:pPr>
        <w:pStyle w:val="49"/>
        <w:spacing w:before="0" w:beforeLines="0" w:after="0" w:afterLines="0"/>
        <w:ind w:left="0"/>
        <w:rPr>
          <w:rFonts w:ascii="宋体" w:hAnsi="宋体" w:eastAsia="宋体"/>
        </w:rPr>
      </w:pPr>
      <w:r>
        <w:rPr>
          <w:rFonts w:ascii="宋体" w:hAnsi="宋体" w:eastAsia="宋体"/>
        </w:rPr>
        <w:t>通风柜具有包容气体采样和分析系统仪器、阀门、取样管路和电气设备的功能</w:t>
      </w:r>
      <w:r>
        <w:rPr>
          <w:rFonts w:hint="eastAsia" w:ascii="宋体" w:hAnsi="宋体" w:eastAsia="宋体"/>
        </w:rPr>
        <w:t>。</w:t>
      </w:r>
    </w:p>
    <w:p w14:paraId="29EABE50">
      <w:pPr>
        <w:pStyle w:val="49"/>
        <w:spacing w:before="0" w:beforeLines="0" w:after="0" w:afterLines="0"/>
        <w:ind w:left="0"/>
        <w:rPr>
          <w:rFonts w:ascii="宋体" w:hAnsi="宋体" w:eastAsia="宋体"/>
        </w:rPr>
      </w:pPr>
      <w:r>
        <w:rPr>
          <w:rFonts w:ascii="宋体" w:hAnsi="宋体" w:eastAsia="宋体"/>
        </w:rPr>
        <w:t>通风柜对气体采样和分析系统仪器、气路切换回路具有安装、支承功能。</w:t>
      </w:r>
    </w:p>
    <w:p w14:paraId="42F6FEF6">
      <w:pPr>
        <w:pStyle w:val="49"/>
        <w:spacing w:before="0" w:beforeLines="0" w:after="0" w:afterLines="0"/>
        <w:ind w:left="0"/>
        <w:rPr>
          <w:rFonts w:ascii="宋体" w:hAnsi="宋体" w:eastAsia="宋体"/>
        </w:rPr>
      </w:pPr>
      <w:r>
        <w:rPr>
          <w:rFonts w:ascii="宋体" w:hAnsi="宋体" w:eastAsia="宋体"/>
        </w:rPr>
        <w:t>通风柜具有隔离放射性的功能，防止放射性气体外溢至房间。</w:t>
      </w:r>
    </w:p>
    <w:p w14:paraId="67DD8AD8">
      <w:pPr>
        <w:pStyle w:val="49"/>
        <w:spacing w:before="0" w:beforeLines="0" w:after="0" w:afterLines="0"/>
        <w:ind w:left="0"/>
        <w:rPr>
          <w:rFonts w:ascii="宋体" w:hAnsi="宋体" w:eastAsia="宋体"/>
        </w:rPr>
      </w:pPr>
      <w:r>
        <w:rPr>
          <w:rFonts w:hint="eastAsia" w:ascii="宋体" w:hAnsi="宋体" w:eastAsia="宋体"/>
        </w:rPr>
        <w:t>通风柜具有可打开柜门供运行、维修人员操作仪器、阀门的功能。</w:t>
      </w:r>
    </w:p>
    <w:p w14:paraId="0E1F9C23">
      <w:pPr>
        <w:pStyle w:val="49"/>
        <w:spacing w:before="0" w:beforeLines="0" w:after="0" w:afterLines="0"/>
        <w:ind w:left="0"/>
        <w:rPr>
          <w:rFonts w:ascii="宋体" w:hAnsi="宋体" w:eastAsia="宋体"/>
        </w:rPr>
      </w:pPr>
      <w:r>
        <w:rPr>
          <w:rFonts w:ascii="宋体" w:hAnsi="宋体" w:eastAsia="宋体"/>
        </w:rPr>
        <w:t>通风柜顶部开孔，与负压通风系统的排风管道相连，排出通风柜内的气体，以保证正常运行时房间内气体由补风狭缝或补风口向通风柜内部流动。通风柜的柜门同一时刻</w:t>
      </w:r>
      <w:r>
        <w:rPr>
          <w:rFonts w:hint="eastAsia" w:ascii="宋体" w:hAnsi="宋体" w:eastAsia="宋体"/>
        </w:rPr>
        <w:t>至</w:t>
      </w:r>
      <w:r>
        <w:rPr>
          <w:rFonts w:ascii="宋体" w:hAnsi="宋体" w:eastAsia="宋体"/>
        </w:rPr>
        <w:t>多可开启一扇，且柜门开口处的面风速不小于</w:t>
      </w:r>
      <w:r>
        <w:rPr>
          <w:rFonts w:hint="eastAsia" w:ascii="宋体" w:hAnsi="宋体" w:eastAsia="宋体"/>
        </w:rPr>
        <w:t>0</w:t>
      </w:r>
      <w:r>
        <w:rPr>
          <w:rFonts w:ascii="宋体" w:hAnsi="宋体" w:eastAsia="宋体"/>
        </w:rPr>
        <w:t>.5m/s。</w:t>
      </w:r>
    </w:p>
    <w:p w14:paraId="30FE32D8">
      <w:pPr>
        <w:pStyle w:val="49"/>
        <w:spacing w:before="0" w:beforeLines="0" w:after="0" w:afterLines="0"/>
        <w:ind w:left="0"/>
        <w:rPr>
          <w:rFonts w:ascii="宋体" w:hAnsi="宋体" w:eastAsia="宋体"/>
        </w:rPr>
      </w:pPr>
      <w:r>
        <w:rPr>
          <w:rFonts w:ascii="宋体" w:hAnsi="宋体" w:eastAsia="宋体"/>
        </w:rPr>
        <w:t>通风柜柜体、柜门、视窗等均能在承载负压时不变形、不移位、不破裂，柜门在承载负压时可方便开启，柜门把手牢固可靠，满足长期运行时的操作需求。</w:t>
      </w:r>
    </w:p>
    <w:p w14:paraId="1C09F42F">
      <w:pPr>
        <w:pStyle w:val="49"/>
        <w:spacing w:before="0" w:beforeLines="0" w:after="0" w:afterLines="0"/>
        <w:ind w:left="0"/>
        <w:rPr>
          <w:rFonts w:ascii="宋体" w:hAnsi="宋体" w:eastAsia="宋体"/>
        </w:rPr>
      </w:pPr>
      <w:r>
        <w:rPr>
          <w:rFonts w:hint="eastAsia" w:ascii="宋体" w:hAnsi="宋体" w:eastAsia="宋体"/>
        </w:rPr>
        <w:t>通风柜底部设置底板，房间空气只通过柜体上的补风狭缝或补风口流向柜内，从而保证补风气体的洁净度和补风气体来源单一、可控。</w:t>
      </w:r>
    </w:p>
    <w:p w14:paraId="11C97F38">
      <w:pPr>
        <w:pStyle w:val="49"/>
        <w:spacing w:before="0" w:beforeLines="0" w:after="0" w:afterLines="0"/>
        <w:ind w:left="0"/>
        <w:rPr>
          <w:rFonts w:ascii="宋体" w:hAnsi="宋体" w:eastAsia="宋体"/>
        </w:rPr>
      </w:pPr>
      <w:r>
        <w:rPr>
          <w:rFonts w:ascii="宋体" w:hAnsi="宋体" w:eastAsia="宋体"/>
        </w:rPr>
        <w:t>通风柜正面、背面均设置两扇金属平开门，以便安装、操作、检查、维修柜内的仪器、阀门和取样管路等。正面柜门上应安装透明视窗以方便运行人员观察柜内设备的运行状态，视窗面积不小于柜门面积的</w:t>
      </w:r>
      <w:r>
        <w:rPr>
          <w:rFonts w:hint="eastAsia" w:ascii="宋体" w:hAnsi="宋体" w:eastAsia="宋体"/>
        </w:rPr>
        <w:t>4</w:t>
      </w:r>
      <w:r>
        <w:rPr>
          <w:rFonts w:ascii="宋体" w:hAnsi="宋体" w:eastAsia="宋体"/>
        </w:rPr>
        <w:t>0%。无论通风柜的柜门处于何种位置，均应保持柜内负压。</w:t>
      </w:r>
    </w:p>
    <w:p w14:paraId="1188E193">
      <w:pPr>
        <w:pStyle w:val="49"/>
        <w:wordWrap w:val="0"/>
        <w:spacing w:before="0" w:beforeLines="0" w:after="0" w:afterLines="0"/>
        <w:ind w:left="0"/>
        <w:rPr>
          <w:rFonts w:ascii="宋体" w:hAnsi="宋体" w:eastAsia="宋体"/>
        </w:rPr>
      </w:pPr>
      <w:r>
        <w:rPr>
          <w:rFonts w:ascii="宋体" w:hAnsi="宋体" w:eastAsia="宋体"/>
        </w:rPr>
        <w:t>通风柜应具有照明功能，</w:t>
      </w:r>
      <w:r>
        <w:rPr>
          <w:rFonts w:hint="eastAsia" w:ascii="宋体" w:hAnsi="宋体" w:eastAsia="宋体"/>
        </w:rPr>
        <w:t>内置节能及无频闪的照明设施，保证工作空间照度不低于</w:t>
      </w:r>
      <w:r>
        <w:rPr>
          <w:rFonts w:ascii="宋体" w:hAnsi="宋体" w:eastAsia="宋体"/>
        </w:rPr>
        <w:t>400lx</w:t>
      </w:r>
      <w:r>
        <w:rPr>
          <w:rFonts w:hint="eastAsia" w:ascii="宋体" w:hAnsi="宋体" w:eastAsia="宋体"/>
        </w:rPr>
        <w:t>。</w:t>
      </w:r>
    </w:p>
    <w:p w14:paraId="446DD8DE">
      <w:pPr>
        <w:pStyle w:val="49"/>
        <w:wordWrap w:val="0"/>
        <w:spacing w:before="0" w:beforeLines="0" w:after="0" w:afterLines="0"/>
        <w:ind w:left="0"/>
        <w:rPr>
          <w:rFonts w:ascii="宋体" w:hAnsi="宋体" w:eastAsia="宋体"/>
        </w:rPr>
      </w:pPr>
      <w:r>
        <w:rPr>
          <w:rFonts w:ascii="宋体" w:hAnsi="宋体" w:eastAsia="宋体"/>
        </w:rPr>
        <w:t>通风柜应具有柜门开关状态与照明设施联动控制功能，打开柜门时，柜内所有照明灯亮，关闭柜门时，柜内所有照明灯熄灭。</w:t>
      </w:r>
    </w:p>
    <w:p w14:paraId="40DF89AD">
      <w:pPr>
        <w:pStyle w:val="49"/>
        <w:spacing w:before="0" w:beforeLines="0" w:after="0" w:afterLines="0"/>
        <w:ind w:left="0"/>
        <w:rPr>
          <w:rFonts w:ascii="宋体" w:hAnsi="宋体" w:eastAsia="宋体"/>
        </w:rPr>
      </w:pPr>
      <w:r>
        <w:rPr>
          <w:rFonts w:ascii="宋体" w:hAnsi="宋体" w:eastAsia="宋体"/>
        </w:rPr>
        <w:t>多台通风柜建议集中布置，且通风柜应具有互相连接功能。通过设置穿板接头，使取样管路、电气线路能在通风柜间穿行。</w:t>
      </w:r>
    </w:p>
    <w:p w14:paraId="276993C8">
      <w:pPr>
        <w:pStyle w:val="49"/>
        <w:spacing w:before="0" w:beforeLines="0" w:after="0" w:afterLines="0"/>
        <w:ind w:left="0"/>
        <w:rPr>
          <w:rFonts w:ascii="宋体" w:hAnsi="宋体" w:eastAsia="宋体"/>
        </w:rPr>
      </w:pPr>
      <w:r>
        <w:rPr>
          <w:rFonts w:ascii="宋体" w:hAnsi="宋体" w:eastAsia="宋体"/>
        </w:rPr>
        <w:t>多台通风柜分散布置时，柜子之间设置管束套管，将取样管路包容起来，防止管路断裂、泄漏产生放射性气体外溢至房间。</w:t>
      </w:r>
    </w:p>
    <w:p w14:paraId="46C46A99">
      <w:pPr>
        <w:pStyle w:val="48"/>
        <w:rPr>
          <w:szCs w:val="21"/>
        </w:rPr>
      </w:pPr>
      <w:bookmarkStart w:id="22" w:name="_Toc225759314"/>
      <w:r>
        <w:rPr>
          <w:rFonts w:hint="eastAsia"/>
          <w:szCs w:val="21"/>
        </w:rPr>
        <w:t>要求</w:t>
      </w:r>
      <w:bookmarkEnd w:id="22"/>
    </w:p>
    <w:p w14:paraId="0423E422">
      <w:pPr>
        <w:pStyle w:val="45"/>
        <w:ind w:left="0"/>
      </w:pPr>
      <w:bookmarkStart w:id="23" w:name="_Toc48658966"/>
      <w:bookmarkEnd w:id="23"/>
      <w:bookmarkStart w:id="24" w:name="_Toc225759315"/>
      <w:r>
        <w:t>外观要求</w:t>
      </w:r>
      <w:bookmarkEnd w:id="24"/>
    </w:p>
    <w:p w14:paraId="5736A17F">
      <w:pPr>
        <w:pStyle w:val="49"/>
        <w:spacing w:before="156" w:after="156"/>
        <w:ind w:left="0"/>
        <w:rPr>
          <w:rFonts w:hAnsi="黑体" w:cs="黑体"/>
        </w:rPr>
      </w:pPr>
      <w:r>
        <w:rPr>
          <w:rFonts w:hint="eastAsia" w:hAnsi="黑体" w:cs="黑体"/>
        </w:rPr>
        <w:t>尺寸及偏差</w:t>
      </w:r>
    </w:p>
    <w:p w14:paraId="30BEF489">
      <w:pPr>
        <w:pStyle w:val="27"/>
      </w:pPr>
      <w:r>
        <w:t>通风柜宽度宜为</w:t>
      </w:r>
      <w:r>
        <w:rPr>
          <w:rFonts w:hint="eastAsia"/>
        </w:rPr>
        <w:t>1</w:t>
      </w:r>
      <w:r>
        <w:t>000mm</w:t>
      </w:r>
      <w:r>
        <w:rPr>
          <w:rFonts w:hint="eastAsia"/>
        </w:rPr>
        <w:t>～</w:t>
      </w:r>
      <w:r>
        <w:t>2600mm，深度不小于</w:t>
      </w:r>
      <w:r>
        <w:rPr>
          <w:rFonts w:hint="eastAsia"/>
        </w:rPr>
        <w:t>8</w:t>
      </w:r>
      <w:r>
        <w:t>50mm，高度宜为</w:t>
      </w:r>
      <w:r>
        <w:rPr>
          <w:rFonts w:hint="eastAsia"/>
        </w:rPr>
        <w:t>2</w:t>
      </w:r>
      <w:r>
        <w:t>200mm</w:t>
      </w:r>
      <w:r>
        <w:rPr>
          <w:rFonts w:hint="eastAsia"/>
        </w:rPr>
        <w:t>～</w:t>
      </w:r>
      <w:r>
        <w:t>2400mm，尺寸允许偏差为±3mm。其它尺寸的极限偏差，按</w:t>
      </w:r>
      <w:r>
        <w:rPr>
          <w:rFonts w:hint="eastAsia"/>
        </w:rPr>
        <w:t>G</w:t>
      </w:r>
      <w:r>
        <w:t>B/T 1804</w:t>
      </w:r>
      <w:r>
        <w:rPr>
          <w:rFonts w:hint="eastAsia"/>
        </w:rPr>
        <w:t>-</w:t>
      </w:r>
      <w:r>
        <w:t>2000中公差等级为c的极限偏差尺寸要求。</w:t>
      </w:r>
    </w:p>
    <w:p w14:paraId="516B4593">
      <w:pPr>
        <w:pStyle w:val="49"/>
        <w:spacing w:before="156" w:after="156"/>
        <w:ind w:left="0"/>
        <w:rPr>
          <w:rFonts w:hAnsi="黑体" w:cs="黑体"/>
        </w:rPr>
      </w:pPr>
      <w:r>
        <w:rPr>
          <w:rFonts w:hint="eastAsia" w:hAnsi="黑体" w:cs="黑体"/>
        </w:rPr>
        <w:t>平面度</w:t>
      </w:r>
    </w:p>
    <w:p w14:paraId="65E981FC">
      <w:pPr>
        <w:pStyle w:val="27"/>
      </w:pPr>
      <w:r>
        <w:rPr>
          <w:rFonts w:hint="eastAsia"/>
        </w:rPr>
        <w:t>通风柜的</w:t>
      </w:r>
      <w:r>
        <w:t>平面度在全长范围内应不大于表1</w:t>
      </w:r>
      <w:r>
        <w:rPr>
          <w:rFonts w:hint="eastAsia"/>
        </w:rPr>
        <w:t>的规定。</w:t>
      </w:r>
    </w:p>
    <w:p w14:paraId="2C92ACBC">
      <w:pPr>
        <w:pStyle w:val="27"/>
        <w:ind w:firstLineChars="0"/>
        <w:jc w:val="center"/>
        <w:rPr>
          <w:rFonts w:ascii="黑体" w:hAnsi="黑体" w:eastAsia="黑体" w:cs="黑体"/>
        </w:rPr>
      </w:pPr>
      <w:r>
        <w:rPr>
          <w:rFonts w:hint="eastAsia" w:ascii="黑体" w:hAnsi="黑体" w:eastAsia="黑体" w:cs="黑体"/>
        </w:rPr>
        <w:t>表1</w:t>
      </w:r>
      <w:r>
        <w:rPr>
          <w:rFonts w:ascii="黑体" w:hAnsi="黑体" w:eastAsia="黑体" w:cs="黑体"/>
        </w:rPr>
        <w:t xml:space="preserve">  </w:t>
      </w:r>
      <w:r>
        <w:rPr>
          <w:rFonts w:hint="eastAsia" w:ascii="黑体" w:hAnsi="黑体" w:eastAsia="黑体" w:cs="黑体"/>
        </w:rPr>
        <w:t>通风柜平面度要求</w:t>
      </w:r>
    </w:p>
    <w:p w14:paraId="10BBC413">
      <w:pPr>
        <w:pStyle w:val="27"/>
        <w:ind w:right="180" w:firstLineChars="0"/>
        <w:jc w:val="right"/>
        <w:rPr>
          <w:rFonts w:hAnsi="宋体" w:cs="宋体"/>
          <w:sz w:val="18"/>
          <w:szCs w:val="18"/>
        </w:rPr>
      </w:pPr>
      <w:r>
        <w:rPr>
          <w:rFonts w:hint="eastAsia" w:hAnsi="宋体" w:cs="宋体"/>
          <w:sz w:val="18"/>
          <w:szCs w:val="18"/>
        </w:rPr>
        <w:t>单位：mm</w:t>
      </w:r>
    </w:p>
    <w:tbl>
      <w:tblPr>
        <w:tblStyle w:val="3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36"/>
        <w:gridCol w:w="2336"/>
        <w:gridCol w:w="2336"/>
        <w:gridCol w:w="2337"/>
      </w:tblGrid>
      <w:tr w14:paraId="304A26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36" w:type="dxa"/>
          </w:tcPr>
          <w:p w14:paraId="35CCC173">
            <w:pPr>
              <w:pStyle w:val="27"/>
              <w:ind w:firstLine="0" w:firstLineChars="0"/>
              <w:jc w:val="center"/>
              <w:rPr>
                <w:szCs w:val="18"/>
              </w:rPr>
            </w:pPr>
            <w:r>
              <w:rPr>
                <w:rFonts w:hint="eastAsia"/>
                <w:szCs w:val="18"/>
              </w:rPr>
              <w:t>基本尺寸</w:t>
            </w:r>
          </w:p>
        </w:tc>
        <w:tc>
          <w:tcPr>
            <w:tcW w:w="2336" w:type="dxa"/>
          </w:tcPr>
          <w:p w14:paraId="12015B88">
            <w:pPr>
              <w:pStyle w:val="27"/>
              <w:ind w:firstLine="0" w:firstLineChars="0"/>
              <w:jc w:val="center"/>
              <w:rPr>
                <w:szCs w:val="18"/>
              </w:rPr>
            </w:pPr>
            <w:r>
              <w:rPr>
                <w:rFonts w:hint="eastAsia"/>
                <w:szCs w:val="18"/>
              </w:rPr>
              <w:t>≤8</w:t>
            </w:r>
            <w:r>
              <w:rPr>
                <w:szCs w:val="18"/>
              </w:rPr>
              <w:t>00</w:t>
            </w:r>
          </w:p>
        </w:tc>
        <w:tc>
          <w:tcPr>
            <w:tcW w:w="2336" w:type="dxa"/>
          </w:tcPr>
          <w:p w14:paraId="0A0BA38A">
            <w:pPr>
              <w:pStyle w:val="27"/>
              <w:ind w:firstLine="0" w:firstLineChars="0"/>
              <w:jc w:val="center"/>
              <w:rPr>
                <w:szCs w:val="18"/>
              </w:rPr>
            </w:pPr>
            <w:r>
              <w:rPr>
                <w:rFonts w:hint="eastAsia"/>
                <w:szCs w:val="18"/>
              </w:rPr>
              <w:t>＞8</w:t>
            </w:r>
            <w:r>
              <w:rPr>
                <w:szCs w:val="18"/>
              </w:rPr>
              <w:t>00</w:t>
            </w:r>
            <w:r>
              <w:rPr>
                <w:rFonts w:hint="eastAsia"/>
                <w:szCs w:val="18"/>
              </w:rPr>
              <w:t>～</w:t>
            </w:r>
            <w:r>
              <w:rPr>
                <w:szCs w:val="18"/>
              </w:rPr>
              <w:t>1200</w:t>
            </w:r>
          </w:p>
        </w:tc>
        <w:tc>
          <w:tcPr>
            <w:tcW w:w="2337" w:type="dxa"/>
          </w:tcPr>
          <w:p w14:paraId="44A26B57">
            <w:pPr>
              <w:pStyle w:val="27"/>
              <w:ind w:firstLine="0" w:firstLineChars="0"/>
              <w:jc w:val="center"/>
              <w:rPr>
                <w:szCs w:val="18"/>
              </w:rPr>
            </w:pPr>
            <w:r>
              <w:rPr>
                <w:rFonts w:hint="eastAsia"/>
                <w:szCs w:val="18"/>
              </w:rPr>
              <w:t>＞1</w:t>
            </w:r>
            <w:r>
              <w:rPr>
                <w:szCs w:val="18"/>
              </w:rPr>
              <w:t>200</w:t>
            </w:r>
            <w:r>
              <w:rPr>
                <w:rFonts w:hint="eastAsia"/>
                <w:szCs w:val="18"/>
              </w:rPr>
              <w:t>～</w:t>
            </w:r>
            <w:r>
              <w:rPr>
                <w:szCs w:val="18"/>
              </w:rPr>
              <w:t>2600</w:t>
            </w:r>
          </w:p>
        </w:tc>
      </w:tr>
      <w:tr w14:paraId="2E26E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36" w:type="dxa"/>
          </w:tcPr>
          <w:p w14:paraId="2665F7DC">
            <w:pPr>
              <w:pStyle w:val="27"/>
              <w:ind w:firstLine="0" w:firstLineChars="0"/>
              <w:jc w:val="center"/>
              <w:rPr>
                <w:szCs w:val="18"/>
              </w:rPr>
            </w:pPr>
            <w:r>
              <w:rPr>
                <w:rFonts w:hint="eastAsia"/>
                <w:szCs w:val="18"/>
              </w:rPr>
              <w:t>公差值</w:t>
            </w:r>
          </w:p>
        </w:tc>
        <w:tc>
          <w:tcPr>
            <w:tcW w:w="2336" w:type="dxa"/>
          </w:tcPr>
          <w:p w14:paraId="27B7C24E">
            <w:pPr>
              <w:pStyle w:val="27"/>
              <w:ind w:firstLine="0" w:firstLineChars="0"/>
              <w:jc w:val="center"/>
              <w:rPr>
                <w:szCs w:val="18"/>
              </w:rPr>
            </w:pPr>
            <w:r>
              <w:rPr>
                <w:rFonts w:hint="eastAsia"/>
                <w:szCs w:val="18"/>
              </w:rPr>
              <w:t>≤0</w:t>
            </w:r>
            <w:r>
              <w:rPr>
                <w:szCs w:val="18"/>
              </w:rPr>
              <w:t>.5</w:t>
            </w:r>
          </w:p>
        </w:tc>
        <w:tc>
          <w:tcPr>
            <w:tcW w:w="2336" w:type="dxa"/>
          </w:tcPr>
          <w:p w14:paraId="5A7F55D2">
            <w:pPr>
              <w:pStyle w:val="27"/>
              <w:ind w:firstLine="0" w:firstLineChars="0"/>
              <w:jc w:val="center"/>
              <w:rPr>
                <w:szCs w:val="18"/>
              </w:rPr>
            </w:pPr>
            <w:r>
              <w:rPr>
                <w:rFonts w:hint="eastAsia"/>
                <w:szCs w:val="18"/>
              </w:rPr>
              <w:t>≤0</w:t>
            </w:r>
            <w:r>
              <w:rPr>
                <w:szCs w:val="18"/>
              </w:rPr>
              <w:t>.8</w:t>
            </w:r>
          </w:p>
        </w:tc>
        <w:tc>
          <w:tcPr>
            <w:tcW w:w="2337" w:type="dxa"/>
          </w:tcPr>
          <w:p w14:paraId="159D3991">
            <w:pPr>
              <w:pStyle w:val="27"/>
              <w:ind w:firstLine="0" w:firstLineChars="0"/>
              <w:jc w:val="center"/>
              <w:rPr>
                <w:szCs w:val="18"/>
              </w:rPr>
            </w:pPr>
            <w:r>
              <w:rPr>
                <w:rFonts w:hint="eastAsia"/>
                <w:szCs w:val="18"/>
              </w:rPr>
              <w:t>≤</w:t>
            </w:r>
            <w:r>
              <w:rPr>
                <w:szCs w:val="18"/>
              </w:rPr>
              <w:t>1.0</w:t>
            </w:r>
          </w:p>
        </w:tc>
      </w:tr>
    </w:tbl>
    <w:p w14:paraId="6BED35D0">
      <w:pPr>
        <w:pStyle w:val="27"/>
        <w:ind w:firstLine="0" w:firstLineChars="0"/>
      </w:pPr>
    </w:p>
    <w:p w14:paraId="73BD8440">
      <w:pPr>
        <w:pStyle w:val="49"/>
        <w:spacing w:before="156" w:after="156"/>
        <w:ind w:left="0"/>
        <w:rPr>
          <w:rFonts w:ascii="宋体" w:hAnsi="宋体" w:eastAsia="宋体"/>
        </w:rPr>
      </w:pPr>
      <w:r>
        <w:rPr>
          <w:rFonts w:hint="eastAsia" w:ascii="宋体" w:hAnsi="宋体" w:eastAsia="宋体"/>
        </w:rPr>
        <w:t>通风柜的外观漆色应光滑平整、色泽一致，不应有气泡、流痕、裂痕、疙瘩、皱皮、飞漆等缺陷</w:t>
      </w:r>
      <w:r>
        <w:rPr>
          <w:rFonts w:ascii="宋体" w:hAnsi="宋体" w:eastAsia="宋体"/>
        </w:rPr>
        <w:t>。</w:t>
      </w:r>
    </w:p>
    <w:p w14:paraId="12E61D9B">
      <w:pPr>
        <w:pStyle w:val="45"/>
        <w:ind w:left="0"/>
      </w:pPr>
      <w:bookmarkStart w:id="25" w:name="_Toc225759316"/>
      <w:r>
        <w:rPr>
          <w:rFonts w:hint="eastAsia"/>
        </w:rPr>
        <w:t>材料要求</w:t>
      </w:r>
      <w:bookmarkEnd w:id="25"/>
    </w:p>
    <w:p w14:paraId="3B12E3C4">
      <w:pPr>
        <w:pStyle w:val="49"/>
        <w:spacing w:before="0" w:beforeLines="0" w:after="0" w:afterLines="0"/>
        <w:ind w:left="0"/>
        <w:rPr>
          <w:rFonts w:ascii="宋体" w:hAnsi="宋体" w:eastAsia="宋体"/>
        </w:rPr>
      </w:pPr>
      <w:r>
        <w:rPr>
          <w:rFonts w:hint="eastAsia" w:ascii="宋体" w:hAnsi="宋体" w:eastAsia="宋体"/>
        </w:rPr>
        <w:t>通风柜柜体材料应采用厚度在</w:t>
      </w:r>
      <w:r>
        <w:rPr>
          <w:rFonts w:ascii="宋体" w:hAnsi="宋体" w:eastAsia="宋体"/>
        </w:rPr>
        <w:t>2.0mm</w:t>
      </w:r>
      <w:r>
        <w:rPr>
          <w:rFonts w:hint="eastAsia" w:ascii="宋体" w:hAnsi="宋体" w:eastAsia="宋体"/>
        </w:rPr>
        <w:t>以上的电镀锌冷轧钢板或</w:t>
      </w:r>
      <w:r>
        <w:rPr>
          <w:rFonts w:ascii="宋体" w:hAnsi="宋体" w:eastAsia="宋体"/>
        </w:rPr>
        <w:t>不锈钢板</w:t>
      </w:r>
      <w:r>
        <w:rPr>
          <w:rFonts w:hint="eastAsia" w:ascii="宋体" w:hAnsi="宋体" w:eastAsia="宋体"/>
        </w:rPr>
        <w:t>,保证其在安装全部阀门、管路和设备后不会产生机械变形。</w:t>
      </w:r>
    </w:p>
    <w:p w14:paraId="00C61C2D">
      <w:pPr>
        <w:pStyle w:val="49"/>
        <w:spacing w:before="0" w:beforeLines="0" w:after="0" w:afterLines="0"/>
        <w:ind w:left="0"/>
        <w:rPr>
          <w:rFonts w:ascii="宋体" w:hAnsi="宋体" w:eastAsia="宋体"/>
        </w:rPr>
      </w:pPr>
      <w:r>
        <w:rPr>
          <w:rFonts w:ascii="宋体" w:hAnsi="宋体" w:eastAsia="宋体"/>
        </w:rPr>
        <w:t>通风柜柜体材料表面处理应保证</w:t>
      </w:r>
      <w:r>
        <w:rPr>
          <w:rFonts w:hint="eastAsia" w:ascii="宋体" w:hAnsi="宋体" w:eastAsia="宋体"/>
        </w:rPr>
        <w:t>2</w:t>
      </w:r>
      <w:r>
        <w:rPr>
          <w:rFonts w:ascii="宋体" w:hAnsi="宋体" w:eastAsia="宋体"/>
        </w:rPr>
        <w:t>0年以上不生锈，</w:t>
      </w:r>
      <w:r>
        <w:rPr>
          <w:rFonts w:hint="eastAsia" w:ascii="宋体" w:hAnsi="宋体" w:eastAsia="宋体"/>
        </w:rPr>
        <w:t>漆膜厚度</w:t>
      </w:r>
      <w:r>
        <w:rPr>
          <w:rFonts w:ascii="宋体" w:hAnsi="宋体" w:eastAsia="宋体"/>
        </w:rPr>
        <w:t>不小于60μm。</w:t>
      </w:r>
    </w:p>
    <w:p w14:paraId="1D5F20AD">
      <w:pPr>
        <w:pStyle w:val="49"/>
        <w:spacing w:before="0" w:beforeLines="0" w:after="0" w:afterLines="0"/>
        <w:ind w:left="0"/>
        <w:rPr>
          <w:rFonts w:ascii="宋体" w:hAnsi="宋体" w:eastAsia="宋体"/>
        </w:rPr>
      </w:pPr>
      <w:r>
        <w:rPr>
          <w:rFonts w:hint="eastAsia" w:ascii="宋体" w:hAnsi="宋体" w:eastAsia="宋体"/>
        </w:rPr>
        <w:t>通风柜内的线槽、电缆等应采用低烟、无卤、阻燃材料。</w:t>
      </w:r>
    </w:p>
    <w:p w14:paraId="5E9FF34A">
      <w:pPr>
        <w:pStyle w:val="45"/>
        <w:ind w:left="0"/>
      </w:pPr>
      <w:bookmarkStart w:id="26" w:name="_Toc225759317"/>
      <w:r>
        <w:rPr>
          <w:rFonts w:hint="eastAsia"/>
        </w:rPr>
        <w:t>制造要求</w:t>
      </w:r>
      <w:bookmarkEnd w:id="26"/>
    </w:p>
    <w:p w14:paraId="568213CF">
      <w:pPr>
        <w:pStyle w:val="49"/>
        <w:spacing w:before="0" w:beforeLines="0" w:after="0" w:afterLines="0"/>
        <w:ind w:left="0"/>
        <w:rPr>
          <w:rFonts w:ascii="宋体" w:hAnsi="宋体" w:eastAsia="宋体"/>
        </w:rPr>
      </w:pPr>
      <w:r>
        <w:rPr>
          <w:rFonts w:hint="eastAsia" w:ascii="宋体" w:hAnsi="宋体" w:eastAsia="宋体"/>
        </w:rPr>
        <w:t>通风柜侧板、顶板采用整片钢板成型，有弯边设计。</w:t>
      </w:r>
    </w:p>
    <w:p w14:paraId="6FAD5D88">
      <w:pPr>
        <w:pStyle w:val="49"/>
        <w:spacing w:before="0" w:beforeLines="0" w:after="0" w:afterLines="0"/>
        <w:ind w:left="0"/>
        <w:rPr>
          <w:rFonts w:ascii="宋体" w:hAnsi="宋体" w:eastAsia="宋体"/>
        </w:rPr>
      </w:pPr>
      <w:r>
        <w:rPr>
          <w:rFonts w:hint="eastAsia" w:ascii="宋体" w:hAnsi="宋体" w:eastAsia="宋体"/>
        </w:rPr>
        <w:t>通风柜柜体接缝处焊接方法、焊缝结构及尺寸按G</w:t>
      </w:r>
      <w:r>
        <w:rPr>
          <w:rFonts w:ascii="宋体" w:hAnsi="宋体" w:eastAsia="宋体"/>
        </w:rPr>
        <w:t>B 50236的规定或按制造厂规定执行。</w:t>
      </w:r>
    </w:p>
    <w:p w14:paraId="5804EA68">
      <w:pPr>
        <w:pStyle w:val="49"/>
        <w:spacing w:before="0" w:beforeLines="0" w:after="0" w:afterLines="0"/>
        <w:ind w:left="0"/>
        <w:rPr>
          <w:rFonts w:ascii="宋体" w:hAnsi="宋体" w:eastAsia="宋体"/>
        </w:rPr>
      </w:pPr>
      <w:r>
        <w:rPr>
          <w:rFonts w:ascii="宋体" w:hAnsi="宋体" w:eastAsia="宋体"/>
        </w:rPr>
        <w:t>通风柜的焊缝质量应符合</w:t>
      </w:r>
      <w:r>
        <w:rPr>
          <w:rFonts w:hint="eastAsia" w:ascii="宋体" w:hAnsi="宋体" w:eastAsia="宋体"/>
        </w:rPr>
        <w:t>G</w:t>
      </w:r>
      <w:r>
        <w:rPr>
          <w:rFonts w:ascii="宋体" w:hAnsi="宋体" w:eastAsia="宋体"/>
        </w:rPr>
        <w:t>B 50683的</w:t>
      </w:r>
      <w:r>
        <w:rPr>
          <w:rFonts w:hint="eastAsia" w:ascii="宋体" w:hAnsi="宋体" w:eastAsia="宋体"/>
        </w:rPr>
        <w:t>Ⅰ级标准。</w:t>
      </w:r>
    </w:p>
    <w:p w14:paraId="6DED63B4">
      <w:pPr>
        <w:pStyle w:val="49"/>
        <w:spacing w:before="0" w:beforeLines="0" w:after="0" w:afterLines="0"/>
        <w:ind w:left="0"/>
        <w:rPr>
          <w:rFonts w:ascii="宋体" w:hAnsi="宋体" w:eastAsia="宋体"/>
        </w:rPr>
      </w:pPr>
      <w:r>
        <w:rPr>
          <w:rFonts w:hint="eastAsia" w:ascii="宋体" w:hAnsi="宋体" w:eastAsia="宋体"/>
        </w:rPr>
        <w:t>通风柜上的全部焊缝在清理、打磨、抛光后进行外观检查。焊接处应无脱焊、虚焊、焊穿、错位。焊缝表面应无夹渣、气孔、焊瘤、裂纹、烧穿及未焊透。</w:t>
      </w:r>
    </w:p>
    <w:p w14:paraId="7261198F">
      <w:pPr>
        <w:pStyle w:val="49"/>
        <w:spacing w:before="0" w:beforeLines="0" w:after="0" w:afterLines="0"/>
        <w:ind w:left="0"/>
        <w:rPr>
          <w:rFonts w:ascii="宋体" w:hAnsi="宋体" w:eastAsia="宋体"/>
        </w:rPr>
      </w:pPr>
      <w:r>
        <w:rPr>
          <w:rFonts w:ascii="宋体" w:hAnsi="宋体" w:eastAsia="宋体"/>
        </w:rPr>
        <w:t>通风柜底板下可设置支承钢梁，底板设计承重不小于300kg/m</w:t>
      </w:r>
      <w:r>
        <w:rPr>
          <w:rFonts w:ascii="宋体" w:hAnsi="宋体" w:eastAsia="宋体"/>
          <w:vertAlign w:val="superscript"/>
        </w:rPr>
        <w:t>2</w:t>
      </w:r>
      <w:r>
        <w:rPr>
          <w:rFonts w:ascii="宋体" w:hAnsi="宋体" w:eastAsia="宋体"/>
        </w:rPr>
        <w:t>。</w:t>
      </w:r>
    </w:p>
    <w:p w14:paraId="743B0B72">
      <w:pPr>
        <w:pStyle w:val="49"/>
        <w:spacing w:before="0" w:beforeLines="0" w:after="0" w:afterLines="0"/>
        <w:ind w:left="0"/>
        <w:rPr>
          <w:rFonts w:ascii="宋体" w:hAnsi="宋体" w:eastAsia="宋体"/>
        </w:rPr>
      </w:pPr>
      <w:r>
        <w:rPr>
          <w:rFonts w:ascii="宋体" w:hAnsi="宋体" w:eastAsia="宋体"/>
        </w:rPr>
        <w:t>通风柜</w:t>
      </w:r>
      <w:r>
        <w:rPr>
          <w:rFonts w:hint="eastAsia" w:ascii="宋体" w:hAnsi="宋体" w:eastAsia="宋体"/>
        </w:rPr>
        <w:t>柜门的</w:t>
      </w:r>
      <w:r>
        <w:rPr>
          <w:rFonts w:ascii="宋体" w:hAnsi="宋体" w:eastAsia="宋体"/>
        </w:rPr>
        <w:t>开启、关闭</w:t>
      </w:r>
      <w:r>
        <w:rPr>
          <w:rFonts w:hint="eastAsia" w:ascii="宋体" w:hAnsi="宋体" w:eastAsia="宋体"/>
        </w:rPr>
        <w:t>应</w:t>
      </w:r>
      <w:r>
        <w:rPr>
          <w:rFonts w:ascii="宋体" w:hAnsi="宋体" w:eastAsia="宋体"/>
        </w:rPr>
        <w:t>轻便灵活、无卡阻、运行平稳。</w:t>
      </w:r>
    </w:p>
    <w:p w14:paraId="1434CA8A">
      <w:pPr>
        <w:pStyle w:val="49"/>
        <w:spacing w:before="0" w:beforeLines="0" w:after="0" w:afterLines="0"/>
        <w:ind w:left="0"/>
        <w:rPr>
          <w:rFonts w:ascii="宋体" w:hAnsi="宋体" w:eastAsia="宋体"/>
        </w:rPr>
      </w:pPr>
      <w:r>
        <w:rPr>
          <w:rFonts w:hint="eastAsia" w:ascii="宋体" w:hAnsi="宋体" w:eastAsia="宋体"/>
        </w:rPr>
        <w:t>通风柜门板上需要留有补风狭缝或补风口，补风面积可手动调整，</w:t>
      </w:r>
      <w:r>
        <w:rPr>
          <w:rFonts w:ascii="宋体" w:hAnsi="宋体" w:eastAsia="宋体"/>
        </w:rPr>
        <w:t>调节装置操作顺滑且可锁定</w:t>
      </w:r>
      <w:r>
        <w:rPr>
          <w:rFonts w:hint="eastAsia" w:ascii="宋体" w:hAnsi="宋体" w:eastAsia="宋体"/>
        </w:rPr>
        <w:t>。在任何情况下，补风面积总和应符合</w:t>
      </w:r>
      <w:r>
        <w:rPr>
          <w:rFonts w:ascii="宋体" w:hAnsi="宋体" w:eastAsia="宋体"/>
        </w:rPr>
        <w:t>T/CNS 35-2020</w:t>
      </w:r>
      <w:r>
        <w:rPr>
          <w:rFonts w:hint="eastAsia" w:ascii="宋体" w:hAnsi="宋体" w:eastAsia="宋体"/>
        </w:rPr>
        <w:t>标注的要求，且不必高于负压排风口面积。</w:t>
      </w:r>
    </w:p>
    <w:p w14:paraId="17BD337B">
      <w:pPr>
        <w:pStyle w:val="45"/>
        <w:ind w:left="0"/>
      </w:pPr>
      <w:bookmarkStart w:id="27" w:name="_Toc225759318"/>
      <w:r>
        <w:rPr>
          <w:rFonts w:hint="eastAsia"/>
        </w:rPr>
        <w:t>安装要求</w:t>
      </w:r>
      <w:bookmarkEnd w:id="27"/>
    </w:p>
    <w:p w14:paraId="0E018A2E">
      <w:pPr>
        <w:pStyle w:val="49"/>
        <w:spacing w:before="0" w:beforeLines="0" w:after="0" w:afterLines="0"/>
        <w:ind w:left="0"/>
        <w:rPr>
          <w:rFonts w:ascii="宋体" w:hAnsi="宋体" w:eastAsia="宋体"/>
        </w:rPr>
      </w:pPr>
      <w:bookmarkStart w:id="28" w:name="_Toc48658970"/>
      <w:bookmarkEnd w:id="28"/>
      <w:bookmarkStart w:id="29" w:name="_Toc48658968"/>
      <w:bookmarkEnd w:id="29"/>
      <w:r>
        <w:rPr>
          <w:rFonts w:hint="eastAsia" w:ascii="宋体" w:hAnsi="宋体" w:eastAsia="宋体"/>
        </w:rPr>
        <w:t>通风柜的安装工作应符合GB 50231的规定。</w:t>
      </w:r>
    </w:p>
    <w:p w14:paraId="78CCB630">
      <w:pPr>
        <w:pStyle w:val="49"/>
        <w:spacing w:before="0" w:beforeLines="0" w:after="0" w:afterLines="0"/>
        <w:ind w:left="0"/>
        <w:rPr>
          <w:rFonts w:ascii="宋体" w:hAnsi="宋体" w:eastAsia="宋体"/>
        </w:rPr>
      </w:pPr>
      <w:r>
        <w:rPr>
          <w:rFonts w:ascii="宋体" w:hAnsi="宋体" w:eastAsia="宋体"/>
        </w:rPr>
        <w:t>通风柜顶部应设置供吊装使用的吊环，其型式、尺寸和最大起吊重量应符合</w:t>
      </w:r>
      <w:r>
        <w:rPr>
          <w:rFonts w:hint="eastAsia" w:ascii="宋体" w:hAnsi="宋体" w:eastAsia="宋体"/>
        </w:rPr>
        <w:t>G</w:t>
      </w:r>
      <w:r>
        <w:rPr>
          <w:rFonts w:ascii="宋体" w:hAnsi="宋体" w:eastAsia="宋体"/>
        </w:rPr>
        <w:t>B 825的规定。</w:t>
      </w:r>
    </w:p>
    <w:p w14:paraId="532590D7">
      <w:pPr>
        <w:pStyle w:val="49"/>
        <w:spacing w:before="0" w:beforeLines="0" w:after="0" w:afterLines="0"/>
        <w:ind w:left="0"/>
        <w:rPr>
          <w:rFonts w:ascii="宋体" w:hAnsi="宋体" w:eastAsia="宋体"/>
        </w:rPr>
      </w:pPr>
      <w:r>
        <w:rPr>
          <w:rFonts w:ascii="宋体" w:hAnsi="宋体" w:eastAsia="宋体"/>
        </w:rPr>
        <w:t>通风柜的安装底座可用槽钢焊接而成，与地面找平找正后和地面预埋件焊接固定；通风柜与安装底座通过螺栓连接固定。</w:t>
      </w:r>
    </w:p>
    <w:p w14:paraId="38F540B5">
      <w:pPr>
        <w:pStyle w:val="49"/>
        <w:spacing w:before="0" w:beforeLines="0" w:after="0" w:afterLines="0"/>
        <w:ind w:left="0"/>
        <w:rPr>
          <w:rFonts w:ascii="宋体" w:hAnsi="宋体" w:eastAsia="宋体"/>
        </w:rPr>
      </w:pPr>
      <w:r>
        <w:rPr>
          <w:rFonts w:ascii="宋体" w:hAnsi="宋体" w:eastAsia="宋体"/>
        </w:rPr>
        <w:t>通风柜内应合理布置仪器、阀门和取样管路等。仪器、阀门与柜体背板、侧板之间应至少留有</w:t>
      </w:r>
      <w:r>
        <w:rPr>
          <w:rFonts w:hint="eastAsia" w:ascii="宋体" w:hAnsi="宋体" w:eastAsia="宋体"/>
        </w:rPr>
        <w:t>1</w:t>
      </w:r>
      <w:r>
        <w:rPr>
          <w:rFonts w:ascii="宋体" w:hAnsi="宋体" w:eastAsia="宋体"/>
        </w:rPr>
        <w:t>50mm</w:t>
      </w:r>
      <w:r>
        <w:rPr>
          <w:rFonts w:hint="eastAsia" w:ascii="宋体" w:hAnsi="宋体" w:eastAsia="宋体" w:cs="宋体"/>
        </w:rPr>
        <w:t>～</w:t>
      </w:r>
      <w:r>
        <w:rPr>
          <w:rFonts w:ascii="宋体" w:hAnsi="宋体" w:eastAsia="宋体"/>
        </w:rPr>
        <w:t>200mm的间距，</w:t>
      </w:r>
      <w:r>
        <w:rPr>
          <w:rFonts w:hint="eastAsia" w:ascii="宋体" w:hAnsi="宋体" w:eastAsia="宋体"/>
        </w:rPr>
        <w:t>确保手或工具能伸入进行操作。相邻阀门的手轮外缘应至少留有5</w:t>
      </w:r>
      <w:r>
        <w:rPr>
          <w:rFonts w:ascii="宋体" w:hAnsi="宋体" w:eastAsia="宋体"/>
        </w:rPr>
        <w:t>0mm</w:t>
      </w:r>
      <w:r>
        <w:rPr>
          <w:rFonts w:hint="eastAsia" w:ascii="宋体" w:hAnsi="宋体" w:eastAsia="宋体" w:cs="宋体"/>
        </w:rPr>
        <w:t>～</w:t>
      </w:r>
      <w:r>
        <w:rPr>
          <w:rFonts w:ascii="宋体" w:hAnsi="宋体" w:eastAsia="宋体"/>
        </w:rPr>
        <w:t>100mm的间距，避免手动操作时误触碰相邻阀门。</w:t>
      </w:r>
    </w:p>
    <w:p w14:paraId="0236639A">
      <w:pPr>
        <w:pStyle w:val="45"/>
        <w:ind w:left="0"/>
      </w:pPr>
      <w:bookmarkStart w:id="30" w:name="_Toc225759319"/>
      <w:r>
        <w:rPr>
          <w:rFonts w:hint="eastAsia"/>
        </w:rPr>
        <w:t>电气安全要求</w:t>
      </w:r>
      <w:bookmarkEnd w:id="30"/>
    </w:p>
    <w:p w14:paraId="251D5AF4">
      <w:pPr>
        <w:pStyle w:val="49"/>
        <w:spacing w:before="0" w:beforeLines="0" w:after="0" w:afterLines="0"/>
        <w:ind w:left="0"/>
        <w:rPr>
          <w:rFonts w:eastAsia="宋体"/>
        </w:rPr>
      </w:pPr>
      <w:r>
        <w:rPr>
          <w:rFonts w:ascii="宋体" w:hAnsi="宋体" w:eastAsia="宋体"/>
        </w:rPr>
        <w:t>通风柜的电气安全要求应符合</w:t>
      </w:r>
      <w:r>
        <w:rPr>
          <w:rFonts w:hint="eastAsia" w:eastAsia="宋体"/>
        </w:rPr>
        <w:t xml:space="preserve">GB/T </w:t>
      </w:r>
      <w:r>
        <w:rPr>
          <w:rFonts w:eastAsia="宋体"/>
        </w:rPr>
        <w:t>7251.1的规定。</w:t>
      </w:r>
    </w:p>
    <w:p w14:paraId="7D03F190">
      <w:pPr>
        <w:pStyle w:val="49"/>
        <w:spacing w:before="0" w:beforeLines="0" w:after="0" w:afterLines="0"/>
        <w:ind w:left="0"/>
        <w:rPr>
          <w:rFonts w:ascii="宋体" w:hAnsi="宋体" w:eastAsia="宋体"/>
        </w:rPr>
      </w:pPr>
      <w:r>
        <w:rPr>
          <w:rFonts w:ascii="宋体" w:hAnsi="宋体" w:eastAsia="宋体"/>
        </w:rPr>
        <w:t>通风柜带电体与外露金属绝缘电阻应大于</w:t>
      </w:r>
      <w:r>
        <w:rPr>
          <w:rFonts w:hint="eastAsia" w:ascii="宋体" w:hAnsi="宋体" w:eastAsia="宋体"/>
        </w:rPr>
        <w:t>2</w:t>
      </w:r>
      <w:r>
        <w:rPr>
          <w:rFonts w:ascii="宋体" w:hAnsi="宋体" w:eastAsia="宋体"/>
        </w:rPr>
        <w:t>MΩ。</w:t>
      </w:r>
    </w:p>
    <w:p w14:paraId="2EAF2C46">
      <w:pPr>
        <w:pStyle w:val="49"/>
        <w:spacing w:before="0" w:beforeLines="0" w:after="0" w:afterLines="0"/>
        <w:ind w:left="0"/>
        <w:rPr>
          <w:rFonts w:ascii="宋体" w:hAnsi="宋体" w:eastAsia="宋体"/>
        </w:rPr>
      </w:pPr>
      <w:r>
        <w:rPr>
          <w:rFonts w:ascii="宋体" w:hAnsi="宋体" w:eastAsia="宋体"/>
        </w:rPr>
        <w:t>通风柜的绝缘材料在</w:t>
      </w:r>
      <w:r>
        <w:rPr>
          <w:rFonts w:hint="eastAsia" w:ascii="宋体" w:hAnsi="宋体" w:eastAsia="宋体"/>
        </w:rPr>
        <w:t>1</w:t>
      </w:r>
      <w:r>
        <w:rPr>
          <w:rFonts w:ascii="宋体" w:hAnsi="宋体" w:eastAsia="宋体"/>
        </w:rPr>
        <w:t>500V试验电压下持续</w:t>
      </w:r>
      <w:r>
        <w:rPr>
          <w:rFonts w:hint="eastAsia" w:ascii="宋体" w:hAnsi="宋体" w:eastAsia="宋体"/>
        </w:rPr>
        <w:t>1</w:t>
      </w:r>
      <w:r>
        <w:rPr>
          <w:rFonts w:ascii="宋体" w:hAnsi="宋体" w:eastAsia="宋体"/>
        </w:rPr>
        <w:t>min，应保证柜内电气设备无闪络及击穿现象。</w:t>
      </w:r>
    </w:p>
    <w:p w14:paraId="24CA3FA3">
      <w:pPr>
        <w:pStyle w:val="49"/>
        <w:spacing w:before="0" w:beforeLines="0" w:after="0" w:afterLines="0"/>
        <w:ind w:left="0"/>
        <w:rPr>
          <w:rFonts w:ascii="宋体" w:hAnsi="宋体" w:eastAsia="宋体"/>
        </w:rPr>
      </w:pPr>
      <w:r>
        <w:rPr>
          <w:rFonts w:ascii="宋体" w:hAnsi="宋体" w:eastAsia="宋体"/>
        </w:rPr>
        <w:t>通风柜应设有保护接地端，接地导线应接出，</w:t>
      </w:r>
      <w:r>
        <w:rPr>
          <w:rFonts w:hint="eastAsia" w:ascii="宋体" w:hAnsi="宋体" w:eastAsia="宋体"/>
        </w:rPr>
        <w:t>接地电阻不应超过1</w:t>
      </w:r>
      <w:r>
        <w:rPr>
          <w:rFonts w:ascii="宋体" w:hAnsi="宋体" w:eastAsia="宋体"/>
        </w:rPr>
        <w:t>00mΩ。</w:t>
      </w:r>
    </w:p>
    <w:p w14:paraId="2DF0BEC2">
      <w:pPr>
        <w:pStyle w:val="49"/>
        <w:spacing w:before="0" w:beforeLines="0" w:after="0" w:afterLines="0"/>
        <w:ind w:left="0"/>
        <w:rPr>
          <w:rFonts w:ascii="宋体" w:hAnsi="宋体" w:eastAsia="宋体"/>
        </w:rPr>
      </w:pPr>
      <w:r>
        <w:rPr>
          <w:rFonts w:ascii="宋体" w:hAnsi="宋体" w:eastAsia="宋体"/>
        </w:rPr>
        <w:t>导线穿孔应有绝缘密封穿线卡圈。</w:t>
      </w:r>
    </w:p>
    <w:p w14:paraId="642938EC">
      <w:pPr>
        <w:pStyle w:val="48"/>
        <w:rPr>
          <w:szCs w:val="21"/>
        </w:rPr>
      </w:pPr>
      <w:bookmarkStart w:id="31" w:name="_Toc119926392"/>
      <w:bookmarkEnd w:id="31"/>
      <w:bookmarkStart w:id="32" w:name="_Toc119926393"/>
      <w:bookmarkEnd w:id="32"/>
      <w:bookmarkStart w:id="33" w:name="_Toc490662728"/>
      <w:bookmarkEnd w:id="33"/>
      <w:bookmarkStart w:id="34" w:name="_Toc119926390"/>
      <w:bookmarkEnd w:id="34"/>
      <w:bookmarkStart w:id="35" w:name="_Toc119926396"/>
      <w:bookmarkEnd w:id="35"/>
      <w:bookmarkStart w:id="36" w:name="_Toc119926290"/>
      <w:bookmarkEnd w:id="36"/>
      <w:bookmarkStart w:id="37" w:name="_Toc119926287"/>
      <w:bookmarkEnd w:id="37"/>
      <w:bookmarkStart w:id="38" w:name="_Toc119926391"/>
      <w:bookmarkEnd w:id="38"/>
      <w:bookmarkStart w:id="39" w:name="_Toc119926288"/>
      <w:bookmarkEnd w:id="39"/>
      <w:bookmarkStart w:id="40" w:name="_Toc48658972"/>
      <w:bookmarkEnd w:id="40"/>
      <w:bookmarkStart w:id="41" w:name="_Toc119926389"/>
      <w:bookmarkEnd w:id="41"/>
      <w:bookmarkStart w:id="42" w:name="_Toc119926286"/>
      <w:bookmarkEnd w:id="42"/>
      <w:bookmarkStart w:id="43" w:name="_Toc119926395"/>
      <w:bookmarkEnd w:id="43"/>
      <w:bookmarkStart w:id="44" w:name="_Toc119926289"/>
      <w:bookmarkEnd w:id="44"/>
      <w:bookmarkStart w:id="45" w:name="_Toc119926285"/>
      <w:bookmarkEnd w:id="45"/>
      <w:bookmarkStart w:id="46" w:name="_Toc381003437"/>
      <w:bookmarkEnd w:id="46"/>
      <w:bookmarkStart w:id="47" w:name="_Toc119926388"/>
      <w:bookmarkEnd w:id="47"/>
      <w:bookmarkStart w:id="48" w:name="_Toc119926293"/>
      <w:bookmarkEnd w:id="48"/>
      <w:bookmarkStart w:id="49" w:name="_Toc119926292"/>
      <w:bookmarkEnd w:id="49"/>
      <w:bookmarkStart w:id="50" w:name="_Toc380005106"/>
      <w:bookmarkEnd w:id="50"/>
      <w:bookmarkStart w:id="51" w:name="_Toc48658976"/>
      <w:bookmarkEnd w:id="51"/>
      <w:bookmarkStart w:id="52" w:name="_Toc119926291"/>
      <w:bookmarkEnd w:id="52"/>
      <w:bookmarkStart w:id="53" w:name="_Toc119071413"/>
      <w:bookmarkEnd w:id="53"/>
      <w:bookmarkStart w:id="54" w:name="_Toc490662726"/>
      <w:bookmarkEnd w:id="54"/>
      <w:bookmarkStart w:id="55" w:name="_Toc381002926"/>
      <w:bookmarkEnd w:id="55"/>
      <w:bookmarkStart w:id="56" w:name="_Toc119926394"/>
      <w:bookmarkEnd w:id="56"/>
      <w:bookmarkStart w:id="57" w:name="_Toc48658974"/>
      <w:bookmarkEnd w:id="57"/>
      <w:bookmarkStart w:id="58" w:name="_Toc225759320"/>
      <w:r>
        <w:rPr>
          <w:rFonts w:hint="eastAsia"/>
          <w:szCs w:val="21"/>
        </w:rPr>
        <w:t>试验方法</w:t>
      </w:r>
      <w:bookmarkEnd w:id="58"/>
    </w:p>
    <w:p w14:paraId="23DF1AE5">
      <w:pPr>
        <w:pStyle w:val="45"/>
        <w:ind w:left="0"/>
      </w:pPr>
      <w:bookmarkStart w:id="59" w:name="_Toc225759321"/>
      <w:r>
        <w:rPr>
          <w:rFonts w:hint="eastAsia"/>
        </w:rPr>
        <w:t>尺寸检查</w:t>
      </w:r>
      <w:bookmarkEnd w:id="59"/>
    </w:p>
    <w:p w14:paraId="5FA80057">
      <w:pPr>
        <w:pStyle w:val="27"/>
      </w:pPr>
      <w:r>
        <w:rPr>
          <w:rFonts w:hint="eastAsia"/>
        </w:rPr>
        <w:t>将通风柜放置在平整地面上，采用精度不低于1</w:t>
      </w:r>
      <w:r>
        <w:t>mm的钢直尺或卷尺进行测定，确保通风柜的外形尺寸与本标准或</w:t>
      </w:r>
      <w:r>
        <w:rPr>
          <w:rFonts w:hint="eastAsia"/>
        </w:rPr>
        <w:t>已获批准的图纸一致，尺寸偏差符合</w:t>
      </w:r>
      <w:r>
        <w:t>6.1.1节规定。</w:t>
      </w:r>
    </w:p>
    <w:p w14:paraId="423D4FF0">
      <w:pPr>
        <w:pStyle w:val="45"/>
        <w:ind w:left="0"/>
      </w:pPr>
      <w:bookmarkStart w:id="60" w:name="_Toc119926401"/>
      <w:bookmarkEnd w:id="60"/>
      <w:bookmarkStart w:id="61" w:name="_Toc119926298"/>
      <w:bookmarkEnd w:id="61"/>
      <w:bookmarkStart w:id="62" w:name="_Toc119926399"/>
      <w:bookmarkEnd w:id="62"/>
      <w:bookmarkStart w:id="63" w:name="_Toc119926400"/>
      <w:bookmarkEnd w:id="63"/>
      <w:bookmarkStart w:id="64" w:name="_Toc119926297"/>
      <w:bookmarkEnd w:id="64"/>
      <w:bookmarkStart w:id="65" w:name="_Toc119926296"/>
      <w:bookmarkEnd w:id="65"/>
      <w:bookmarkStart w:id="66" w:name="_Toc225759322"/>
      <w:r>
        <w:rPr>
          <w:rFonts w:hint="eastAsia"/>
        </w:rPr>
        <w:t>外观检查</w:t>
      </w:r>
      <w:bookmarkEnd w:id="66"/>
    </w:p>
    <w:p w14:paraId="51994056">
      <w:pPr>
        <w:pStyle w:val="27"/>
        <w:ind w:firstLine="0" w:firstLineChars="0"/>
      </w:pPr>
      <w:r>
        <w:rPr>
          <w:rFonts w:hint="eastAsia"/>
        </w:rPr>
        <w:t xml:space="preserve"> </w:t>
      </w:r>
      <w:r>
        <w:t xml:space="preserve">  采用目视方法检查通风柜的外观质量</w:t>
      </w:r>
      <w:r>
        <w:rPr>
          <w:rFonts w:hint="eastAsia"/>
        </w:rPr>
        <w:t>，采用漆膜测厚仪测量通风柜表面漆膜厚度。</w:t>
      </w:r>
    </w:p>
    <w:p w14:paraId="5C6E66D8">
      <w:pPr>
        <w:pStyle w:val="45"/>
        <w:ind w:left="0"/>
      </w:pPr>
      <w:bookmarkStart w:id="67" w:name="_Toc225759323"/>
      <w:r>
        <w:rPr>
          <w:rFonts w:hint="eastAsia"/>
        </w:rPr>
        <w:t>绝缘电阻试验</w:t>
      </w:r>
      <w:bookmarkEnd w:id="67"/>
    </w:p>
    <w:p w14:paraId="3AF3C79C">
      <w:pPr>
        <w:pStyle w:val="27"/>
      </w:pPr>
      <w:r>
        <w:rPr>
          <w:rFonts w:hint="eastAsia"/>
        </w:rPr>
        <w:t>将通风柜电源插头的相、中线可靠短接，绝缘电阻表接头一端连接在短接后的总电源插头的相、中联线，一端连接保护接地端子，匀速摇动绝缘电阻表，施加5</w:t>
      </w:r>
      <w:r>
        <w:t>00V直流电压，持续</w:t>
      </w:r>
      <w:r>
        <w:rPr>
          <w:rFonts w:hint="eastAsia"/>
        </w:rPr>
        <w:t>5</w:t>
      </w:r>
      <w:r>
        <w:t>s后读取绝缘电阻测量值。试验过程</w:t>
      </w:r>
      <w:r>
        <w:rPr>
          <w:rFonts w:hint="eastAsia"/>
        </w:rPr>
        <w:t>应</w:t>
      </w:r>
      <w:r>
        <w:t>符合</w:t>
      </w:r>
      <w:r>
        <w:rPr>
          <w:rFonts w:hint="eastAsia"/>
        </w:rPr>
        <w:t>G</w:t>
      </w:r>
      <w:r>
        <w:t>B/T 7251.1的相关要求。</w:t>
      </w:r>
    </w:p>
    <w:p w14:paraId="03354CE5">
      <w:pPr>
        <w:pStyle w:val="45"/>
        <w:ind w:left="0"/>
      </w:pPr>
      <w:bookmarkStart w:id="68" w:name="_Toc225759324"/>
      <w:r>
        <w:rPr>
          <w:rFonts w:hint="eastAsia"/>
        </w:rPr>
        <w:t>交流耐压试验</w:t>
      </w:r>
      <w:bookmarkEnd w:id="68"/>
    </w:p>
    <w:p w14:paraId="347A4E07">
      <w:pPr>
        <w:pStyle w:val="27"/>
      </w:pPr>
      <w:r>
        <w:rPr>
          <w:rFonts w:hint="eastAsia"/>
        </w:rPr>
        <w:t>绝缘电阻试验合格后，将耐电压测试仪接头一端连接在短接后的总电源插头的相、中线连线，一端连接保护接地端子，启动耐电压测试仪，施加交流电压，在5</w:t>
      </w:r>
      <w:r>
        <w:t>s内升至</w:t>
      </w:r>
      <w:r>
        <w:rPr>
          <w:rFonts w:hint="eastAsia"/>
        </w:rPr>
        <w:t>1</w:t>
      </w:r>
      <w:r>
        <w:t>500V,并保持</w:t>
      </w:r>
      <w:r>
        <w:rPr>
          <w:rFonts w:hint="eastAsia"/>
        </w:rPr>
        <w:t>1</w:t>
      </w:r>
      <w:r>
        <w:t>min。试验过程要符合</w:t>
      </w:r>
      <w:r>
        <w:rPr>
          <w:rFonts w:hint="eastAsia"/>
        </w:rPr>
        <w:t>G</w:t>
      </w:r>
      <w:r>
        <w:t>B/T 7251.1的相关要求。</w:t>
      </w:r>
    </w:p>
    <w:p w14:paraId="37714B9C">
      <w:pPr>
        <w:pStyle w:val="45"/>
        <w:ind w:left="0"/>
      </w:pPr>
      <w:bookmarkStart w:id="69" w:name="_Toc225759325"/>
      <w:r>
        <w:rPr>
          <w:rFonts w:hint="eastAsia"/>
        </w:rPr>
        <w:t>保护接地试验</w:t>
      </w:r>
      <w:bookmarkEnd w:id="69"/>
    </w:p>
    <w:p w14:paraId="21464501">
      <w:pPr>
        <w:pStyle w:val="27"/>
      </w:pPr>
      <w:r>
        <w:rPr>
          <w:rFonts w:hint="eastAsia"/>
        </w:rPr>
        <w:t>使用接地电阻测试仪进行试验，在每个外露可导电部分与外部保护导体的端子之间施加2</w:t>
      </w:r>
      <w:r>
        <w:t>5A交流电，并读取电阻值。试验过程要符合</w:t>
      </w:r>
      <w:r>
        <w:rPr>
          <w:rFonts w:hint="eastAsia"/>
        </w:rPr>
        <w:t>G</w:t>
      </w:r>
      <w:r>
        <w:t>B/T 7251.1的相关要求。</w:t>
      </w:r>
    </w:p>
    <w:p w14:paraId="6AEFFEB2">
      <w:pPr>
        <w:pStyle w:val="45"/>
        <w:ind w:left="0"/>
      </w:pPr>
      <w:bookmarkStart w:id="70" w:name="_Toc225759326"/>
      <w:r>
        <w:rPr>
          <w:rFonts w:hint="eastAsia"/>
        </w:rPr>
        <w:t>柜门开关试验</w:t>
      </w:r>
      <w:bookmarkEnd w:id="70"/>
    </w:p>
    <w:p w14:paraId="4BCD86E7">
      <w:pPr>
        <w:pStyle w:val="27"/>
      </w:pPr>
      <w:r>
        <w:t>逐个打开</w:t>
      </w:r>
      <w:r>
        <w:rPr>
          <w:rFonts w:hint="eastAsia"/>
        </w:rPr>
        <w:t>/关闭</w:t>
      </w:r>
      <w:r>
        <w:t>所有通风柜柜门，观察柜内所有照明灯是否同步点亮</w:t>
      </w:r>
      <w:r>
        <w:rPr>
          <w:rFonts w:hint="eastAsia"/>
        </w:rPr>
        <w:t>/</w:t>
      </w:r>
      <w:r>
        <w:t>熄灭</w:t>
      </w:r>
      <w:r>
        <w:rPr>
          <w:rFonts w:hint="eastAsia"/>
        </w:rPr>
        <w:t>。</w:t>
      </w:r>
    </w:p>
    <w:p w14:paraId="4BD3FE8E">
      <w:pPr>
        <w:pStyle w:val="48"/>
        <w:rPr>
          <w:szCs w:val="21"/>
        </w:rPr>
      </w:pPr>
      <w:bookmarkStart w:id="71" w:name="_Toc119926316"/>
      <w:bookmarkEnd w:id="71"/>
      <w:bookmarkStart w:id="72" w:name="_Toc119926426"/>
      <w:bookmarkEnd w:id="72"/>
      <w:bookmarkStart w:id="73" w:name="_Toc119926452"/>
      <w:bookmarkEnd w:id="73"/>
      <w:bookmarkStart w:id="74" w:name="_Toc119926320"/>
      <w:bookmarkEnd w:id="74"/>
      <w:bookmarkStart w:id="75" w:name="_Toc119926354"/>
      <w:bookmarkEnd w:id="75"/>
      <w:bookmarkStart w:id="76" w:name="_Toc119926359"/>
      <w:bookmarkEnd w:id="76"/>
      <w:bookmarkStart w:id="77" w:name="_Toc119926323"/>
      <w:bookmarkEnd w:id="77"/>
      <w:bookmarkStart w:id="78" w:name="_Toc119926459"/>
      <w:bookmarkEnd w:id="78"/>
      <w:bookmarkStart w:id="79" w:name="_Toc119926356"/>
      <w:bookmarkEnd w:id="79"/>
      <w:bookmarkStart w:id="80" w:name="_Toc119926427"/>
      <w:bookmarkEnd w:id="80"/>
      <w:bookmarkStart w:id="81" w:name="_Toc119926437"/>
      <w:bookmarkEnd w:id="81"/>
      <w:bookmarkStart w:id="82" w:name="_Toc119926351"/>
      <w:bookmarkEnd w:id="82"/>
      <w:bookmarkStart w:id="83" w:name="_Toc119926307"/>
      <w:bookmarkEnd w:id="83"/>
      <w:bookmarkStart w:id="84" w:name="_Toc119926415"/>
      <w:bookmarkEnd w:id="84"/>
      <w:bookmarkStart w:id="85" w:name="_Toc119926308"/>
      <w:bookmarkEnd w:id="85"/>
      <w:bookmarkStart w:id="86" w:name="_Toc119926309"/>
      <w:bookmarkEnd w:id="86"/>
      <w:bookmarkStart w:id="87" w:name="_Toc119926448"/>
      <w:bookmarkEnd w:id="87"/>
      <w:bookmarkStart w:id="88" w:name="_Toc119926406"/>
      <w:bookmarkEnd w:id="88"/>
      <w:bookmarkStart w:id="89" w:name="_Toc119926436"/>
      <w:bookmarkEnd w:id="89"/>
      <w:bookmarkStart w:id="90" w:name="_Toc119926412"/>
      <w:bookmarkEnd w:id="90"/>
      <w:bookmarkStart w:id="91" w:name="_Toc119926355"/>
      <w:bookmarkEnd w:id="91"/>
      <w:bookmarkStart w:id="92" w:name="_Toc119926451"/>
      <w:bookmarkEnd w:id="92"/>
      <w:bookmarkStart w:id="93" w:name="_Toc119926337"/>
      <w:bookmarkEnd w:id="93"/>
      <w:bookmarkStart w:id="94" w:name="_Toc119926358"/>
      <w:bookmarkEnd w:id="94"/>
      <w:bookmarkStart w:id="95" w:name="_Toc119926325"/>
      <w:bookmarkEnd w:id="95"/>
      <w:bookmarkStart w:id="96" w:name="_Toc119926304"/>
      <w:bookmarkEnd w:id="96"/>
      <w:bookmarkStart w:id="97" w:name="_Toc119926330"/>
      <w:bookmarkEnd w:id="97"/>
      <w:bookmarkStart w:id="98" w:name="_Toc119926310"/>
      <w:bookmarkEnd w:id="98"/>
      <w:bookmarkStart w:id="99" w:name="_Toc119926449"/>
      <w:bookmarkEnd w:id="99"/>
      <w:bookmarkStart w:id="100" w:name="_Toc119926461"/>
      <w:bookmarkEnd w:id="100"/>
      <w:bookmarkStart w:id="101" w:name="_Toc119926306"/>
      <w:bookmarkEnd w:id="101"/>
      <w:bookmarkStart w:id="102" w:name="_Toc119926334"/>
      <w:bookmarkEnd w:id="102"/>
      <w:bookmarkStart w:id="103" w:name="_Toc119926313"/>
      <w:bookmarkEnd w:id="103"/>
      <w:bookmarkStart w:id="104" w:name="_Toc119926318"/>
      <w:bookmarkEnd w:id="104"/>
      <w:bookmarkStart w:id="105" w:name="_Toc119926419"/>
      <w:bookmarkEnd w:id="105"/>
      <w:bookmarkStart w:id="106" w:name="_Toc119926417"/>
      <w:bookmarkEnd w:id="106"/>
      <w:bookmarkStart w:id="107" w:name="_Toc119926444"/>
      <w:bookmarkEnd w:id="107"/>
      <w:bookmarkStart w:id="108" w:name="_Toc119926340"/>
      <w:bookmarkEnd w:id="108"/>
      <w:bookmarkStart w:id="109" w:name="_Toc119926438"/>
      <w:bookmarkEnd w:id="109"/>
      <w:bookmarkStart w:id="110" w:name="_Toc119926332"/>
      <w:bookmarkEnd w:id="110"/>
      <w:bookmarkStart w:id="111" w:name="_Toc119926421"/>
      <w:bookmarkEnd w:id="111"/>
      <w:bookmarkStart w:id="112" w:name="_Toc119926409"/>
      <w:bookmarkEnd w:id="112"/>
      <w:bookmarkStart w:id="113" w:name="_Toc119926440"/>
      <w:bookmarkEnd w:id="113"/>
      <w:bookmarkStart w:id="114" w:name="_Toc119926326"/>
      <w:bookmarkEnd w:id="114"/>
      <w:bookmarkStart w:id="115" w:name="_Toc119926305"/>
      <w:bookmarkEnd w:id="115"/>
      <w:bookmarkStart w:id="116" w:name="_Toc119926407"/>
      <w:bookmarkEnd w:id="116"/>
      <w:bookmarkStart w:id="117" w:name="_Toc119926454"/>
      <w:bookmarkEnd w:id="117"/>
      <w:bookmarkStart w:id="118" w:name="_Toc119926414"/>
      <w:bookmarkEnd w:id="118"/>
      <w:bookmarkStart w:id="119" w:name="_Toc119926416"/>
      <w:bookmarkEnd w:id="119"/>
      <w:bookmarkStart w:id="120" w:name="_Toc119926357"/>
      <w:bookmarkEnd w:id="120"/>
      <w:bookmarkStart w:id="121" w:name="_Toc119926453"/>
      <w:bookmarkEnd w:id="121"/>
      <w:bookmarkStart w:id="122" w:name="_Toc119926460"/>
      <w:bookmarkEnd w:id="122"/>
      <w:bookmarkStart w:id="123" w:name="_Toc119926432"/>
      <w:bookmarkEnd w:id="123"/>
      <w:bookmarkStart w:id="124" w:name="_Toc119926336"/>
      <w:bookmarkEnd w:id="124"/>
      <w:bookmarkStart w:id="125" w:name="_Toc119926423"/>
      <w:bookmarkEnd w:id="125"/>
      <w:bookmarkStart w:id="126" w:name="_Toc119926422"/>
      <w:bookmarkEnd w:id="126"/>
      <w:bookmarkStart w:id="127" w:name="_Toc119926303"/>
      <w:bookmarkEnd w:id="127"/>
      <w:bookmarkStart w:id="128" w:name="_Toc119926346"/>
      <w:bookmarkEnd w:id="128"/>
      <w:bookmarkStart w:id="129" w:name="_Toc119926333"/>
      <w:bookmarkEnd w:id="129"/>
      <w:bookmarkStart w:id="130" w:name="_Toc119926434"/>
      <w:bookmarkEnd w:id="130"/>
      <w:bookmarkStart w:id="131" w:name="_Toc119926324"/>
      <w:bookmarkEnd w:id="131"/>
      <w:bookmarkStart w:id="132" w:name="_Toc119926342"/>
      <w:bookmarkEnd w:id="132"/>
      <w:bookmarkStart w:id="133" w:name="_Toc119926312"/>
      <w:bookmarkEnd w:id="133"/>
      <w:bookmarkStart w:id="134" w:name="_Toc119926317"/>
      <w:bookmarkEnd w:id="134"/>
      <w:bookmarkStart w:id="135" w:name="_Toc119926462"/>
      <w:bookmarkEnd w:id="135"/>
      <w:bookmarkStart w:id="136" w:name="_Toc119926311"/>
      <w:bookmarkEnd w:id="136"/>
      <w:bookmarkStart w:id="137" w:name="_Toc119926331"/>
      <w:bookmarkEnd w:id="137"/>
      <w:bookmarkStart w:id="138" w:name="_Toc119926425"/>
      <w:bookmarkEnd w:id="138"/>
      <w:bookmarkStart w:id="139" w:name="_Toc119926341"/>
      <w:bookmarkEnd w:id="139"/>
      <w:bookmarkStart w:id="140" w:name="_Toc119926446"/>
      <w:bookmarkEnd w:id="140"/>
      <w:bookmarkStart w:id="141" w:name="_Toc119926420"/>
      <w:bookmarkEnd w:id="141"/>
      <w:bookmarkStart w:id="142" w:name="_Toc119926315"/>
      <w:bookmarkEnd w:id="142"/>
      <w:bookmarkStart w:id="143" w:name="_Toc119926328"/>
      <w:bookmarkEnd w:id="143"/>
      <w:bookmarkStart w:id="144" w:name="_Toc119926335"/>
      <w:bookmarkEnd w:id="144"/>
      <w:bookmarkStart w:id="145" w:name="_Toc119926443"/>
      <w:bookmarkEnd w:id="145"/>
      <w:bookmarkStart w:id="146" w:name="_Toc119926347"/>
      <w:bookmarkEnd w:id="146"/>
      <w:bookmarkStart w:id="147" w:name="_Toc119926430"/>
      <w:bookmarkEnd w:id="147"/>
      <w:bookmarkStart w:id="148" w:name="_Toc119926348"/>
      <w:bookmarkEnd w:id="148"/>
      <w:bookmarkStart w:id="149" w:name="_Toc119926319"/>
      <w:bookmarkEnd w:id="149"/>
      <w:bookmarkStart w:id="150" w:name="_Toc119926424"/>
      <w:bookmarkEnd w:id="150"/>
      <w:bookmarkStart w:id="151" w:name="_Toc119926458"/>
      <w:bookmarkEnd w:id="151"/>
      <w:bookmarkStart w:id="152" w:name="_Toc119926352"/>
      <w:bookmarkEnd w:id="152"/>
      <w:bookmarkStart w:id="153" w:name="_Toc119926431"/>
      <w:bookmarkEnd w:id="153"/>
      <w:bookmarkStart w:id="154" w:name="_Toc119926429"/>
      <w:bookmarkEnd w:id="154"/>
      <w:bookmarkStart w:id="155" w:name="_Toc119926433"/>
      <w:bookmarkEnd w:id="155"/>
      <w:bookmarkStart w:id="156" w:name="_Toc119926455"/>
      <w:bookmarkEnd w:id="156"/>
      <w:bookmarkStart w:id="157" w:name="_Toc119926327"/>
      <w:bookmarkEnd w:id="157"/>
      <w:bookmarkStart w:id="158" w:name="_Toc119926345"/>
      <w:bookmarkEnd w:id="158"/>
      <w:bookmarkStart w:id="159" w:name="_Toc119926447"/>
      <w:bookmarkEnd w:id="159"/>
      <w:bookmarkStart w:id="160" w:name="_Toc119926349"/>
      <w:bookmarkEnd w:id="160"/>
      <w:bookmarkStart w:id="161" w:name="_Toc119926445"/>
      <w:bookmarkEnd w:id="161"/>
      <w:bookmarkStart w:id="162" w:name="_Toc119926450"/>
      <w:bookmarkEnd w:id="162"/>
      <w:bookmarkStart w:id="163" w:name="_Toc119926428"/>
      <w:bookmarkEnd w:id="163"/>
      <w:bookmarkStart w:id="164" w:name="_Toc119926339"/>
      <w:bookmarkEnd w:id="164"/>
      <w:bookmarkStart w:id="165" w:name="_Toc119926338"/>
      <w:bookmarkEnd w:id="165"/>
      <w:bookmarkStart w:id="166" w:name="_Toc119926408"/>
      <w:bookmarkEnd w:id="166"/>
      <w:bookmarkStart w:id="167" w:name="_Toc119926322"/>
      <w:bookmarkEnd w:id="167"/>
      <w:bookmarkStart w:id="168" w:name="_Toc119926418"/>
      <w:bookmarkEnd w:id="168"/>
      <w:bookmarkStart w:id="169" w:name="_Toc119926344"/>
      <w:bookmarkEnd w:id="169"/>
      <w:bookmarkStart w:id="170" w:name="_Toc119926457"/>
      <w:bookmarkEnd w:id="170"/>
      <w:bookmarkStart w:id="171" w:name="_Toc119926456"/>
      <w:bookmarkEnd w:id="171"/>
      <w:bookmarkStart w:id="172" w:name="_Toc119926439"/>
      <w:bookmarkEnd w:id="172"/>
      <w:bookmarkStart w:id="173" w:name="_Toc119926353"/>
      <w:bookmarkEnd w:id="173"/>
      <w:bookmarkStart w:id="174" w:name="_Toc119926314"/>
      <w:bookmarkEnd w:id="174"/>
      <w:bookmarkStart w:id="175" w:name="_Toc119926410"/>
      <w:bookmarkEnd w:id="175"/>
      <w:bookmarkStart w:id="176" w:name="_Toc119926435"/>
      <w:bookmarkEnd w:id="176"/>
      <w:bookmarkStart w:id="177" w:name="_Toc119926411"/>
      <w:bookmarkEnd w:id="177"/>
      <w:bookmarkStart w:id="178" w:name="_Toc119926343"/>
      <w:bookmarkEnd w:id="178"/>
      <w:bookmarkStart w:id="179" w:name="_Toc119926350"/>
      <w:bookmarkEnd w:id="179"/>
      <w:bookmarkStart w:id="180" w:name="_Toc119926441"/>
      <w:bookmarkEnd w:id="180"/>
      <w:bookmarkStart w:id="181" w:name="_Toc119926413"/>
      <w:bookmarkEnd w:id="181"/>
      <w:bookmarkStart w:id="182" w:name="_Toc119926321"/>
      <w:bookmarkEnd w:id="182"/>
      <w:bookmarkStart w:id="183" w:name="_Toc119926442"/>
      <w:bookmarkEnd w:id="183"/>
      <w:bookmarkStart w:id="184" w:name="_Toc119926329"/>
      <w:bookmarkEnd w:id="184"/>
      <w:bookmarkStart w:id="185" w:name="_Toc225759327"/>
      <w:r>
        <w:rPr>
          <w:rFonts w:hint="eastAsia"/>
          <w:szCs w:val="21"/>
        </w:rPr>
        <w:t>检验规则</w:t>
      </w:r>
      <w:bookmarkEnd w:id="185"/>
    </w:p>
    <w:p w14:paraId="0FC0D9AB">
      <w:pPr>
        <w:pStyle w:val="45"/>
        <w:ind w:left="0"/>
      </w:pPr>
      <w:bookmarkStart w:id="186" w:name="_Toc225759328"/>
      <w:r>
        <w:rPr>
          <w:rFonts w:hint="eastAsia"/>
        </w:rPr>
        <w:t>检验类别</w:t>
      </w:r>
      <w:bookmarkEnd w:id="186"/>
    </w:p>
    <w:p w14:paraId="632AC6B1">
      <w:pPr>
        <w:pStyle w:val="27"/>
        <w:ind w:left="420" w:firstLine="0" w:firstLineChars="0"/>
      </w:pPr>
      <w:r>
        <w:rPr>
          <w:rFonts w:hint="eastAsia"/>
        </w:rPr>
        <w:t>通风柜的检验分型式检验和出厂检验，检验项目按表</w:t>
      </w:r>
      <w:r>
        <w:t>2</w:t>
      </w:r>
      <w:r>
        <w:rPr>
          <w:rFonts w:hint="eastAsia"/>
        </w:rPr>
        <w:t>的规定。</w:t>
      </w:r>
    </w:p>
    <w:p w14:paraId="13E0F3FA">
      <w:pPr>
        <w:pStyle w:val="27"/>
        <w:ind w:left="420" w:firstLine="0" w:firstLineChars="0"/>
        <w:jc w:val="center"/>
      </w:pPr>
    </w:p>
    <w:p w14:paraId="2540B3BE">
      <w:pPr>
        <w:pStyle w:val="27"/>
        <w:ind w:left="420" w:firstLine="0" w:firstLineChars="0"/>
        <w:jc w:val="center"/>
        <w:rPr>
          <w:rFonts w:ascii="黑体" w:hAnsi="黑体" w:eastAsia="黑体" w:cs="黑体"/>
        </w:rPr>
      </w:pPr>
      <w:r>
        <w:rPr>
          <w:rFonts w:hint="eastAsia" w:ascii="黑体" w:hAnsi="黑体" w:eastAsia="黑体" w:cs="黑体"/>
        </w:rPr>
        <w:t>表</w:t>
      </w:r>
      <w:r>
        <w:rPr>
          <w:rFonts w:ascii="黑体" w:hAnsi="黑体" w:eastAsia="黑体" w:cs="黑体"/>
        </w:rPr>
        <w:t xml:space="preserve">2 </w:t>
      </w:r>
      <w:r>
        <w:rPr>
          <w:rFonts w:hint="eastAsia" w:ascii="黑体" w:hAnsi="黑体" w:eastAsia="黑体" w:cs="黑体"/>
        </w:rPr>
        <w:t>检验项目</w:t>
      </w:r>
    </w:p>
    <w:tbl>
      <w:tblPr>
        <w:tblStyle w:val="37"/>
        <w:tblW w:w="0" w:type="auto"/>
        <w:tblInd w:w="4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1"/>
        <w:gridCol w:w="1418"/>
        <w:gridCol w:w="1134"/>
        <w:gridCol w:w="1134"/>
        <w:gridCol w:w="2268"/>
        <w:gridCol w:w="2120"/>
      </w:tblGrid>
      <w:tr w14:paraId="52F78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 w:hRule="atLeast"/>
        </w:trPr>
        <w:tc>
          <w:tcPr>
            <w:tcW w:w="2269" w:type="dxa"/>
            <w:gridSpan w:val="2"/>
            <w:vMerge w:val="restart"/>
          </w:tcPr>
          <w:p w14:paraId="495C6963">
            <w:pPr>
              <w:pStyle w:val="27"/>
              <w:ind w:firstLine="0" w:firstLineChars="0"/>
              <w:jc w:val="center"/>
              <w:rPr>
                <w:sz w:val="18"/>
                <w:szCs w:val="18"/>
              </w:rPr>
            </w:pPr>
            <w:r>
              <w:rPr>
                <w:rFonts w:hint="eastAsia"/>
                <w:sz w:val="18"/>
                <w:szCs w:val="18"/>
              </w:rPr>
              <w:t>检验项目</w:t>
            </w:r>
          </w:p>
        </w:tc>
        <w:tc>
          <w:tcPr>
            <w:tcW w:w="2268" w:type="dxa"/>
            <w:gridSpan w:val="2"/>
          </w:tcPr>
          <w:p w14:paraId="39CFC40F">
            <w:pPr>
              <w:pStyle w:val="27"/>
              <w:ind w:firstLine="0" w:firstLineChars="0"/>
              <w:jc w:val="center"/>
              <w:rPr>
                <w:sz w:val="18"/>
                <w:szCs w:val="18"/>
              </w:rPr>
            </w:pPr>
            <w:r>
              <w:rPr>
                <w:rFonts w:hint="eastAsia"/>
                <w:sz w:val="18"/>
                <w:szCs w:val="18"/>
              </w:rPr>
              <w:t>检验类别</w:t>
            </w:r>
          </w:p>
        </w:tc>
        <w:tc>
          <w:tcPr>
            <w:tcW w:w="2268" w:type="dxa"/>
            <w:vMerge w:val="restart"/>
          </w:tcPr>
          <w:p w14:paraId="6D549252">
            <w:pPr>
              <w:pStyle w:val="27"/>
              <w:ind w:firstLine="0" w:firstLineChars="0"/>
              <w:jc w:val="center"/>
              <w:rPr>
                <w:sz w:val="18"/>
                <w:szCs w:val="18"/>
              </w:rPr>
            </w:pPr>
            <w:r>
              <w:rPr>
                <w:rFonts w:hint="eastAsia"/>
                <w:sz w:val="18"/>
                <w:szCs w:val="18"/>
              </w:rPr>
              <w:t>技术要求</w:t>
            </w:r>
          </w:p>
        </w:tc>
        <w:tc>
          <w:tcPr>
            <w:tcW w:w="2120" w:type="dxa"/>
            <w:vMerge w:val="restart"/>
          </w:tcPr>
          <w:p w14:paraId="69EF56D1">
            <w:pPr>
              <w:pStyle w:val="27"/>
              <w:ind w:firstLine="0" w:firstLineChars="0"/>
              <w:jc w:val="center"/>
              <w:rPr>
                <w:sz w:val="18"/>
                <w:szCs w:val="18"/>
              </w:rPr>
            </w:pPr>
            <w:r>
              <w:rPr>
                <w:rFonts w:hint="eastAsia"/>
                <w:sz w:val="18"/>
                <w:szCs w:val="18"/>
              </w:rPr>
              <w:t>试验方法</w:t>
            </w:r>
          </w:p>
        </w:tc>
      </w:tr>
      <w:tr w14:paraId="62D9E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 w:hRule="atLeast"/>
        </w:trPr>
        <w:tc>
          <w:tcPr>
            <w:tcW w:w="2269" w:type="dxa"/>
            <w:gridSpan w:val="2"/>
            <w:vMerge w:val="continue"/>
          </w:tcPr>
          <w:p w14:paraId="2AF7776A">
            <w:pPr>
              <w:pStyle w:val="27"/>
              <w:ind w:firstLine="0" w:firstLineChars="0"/>
              <w:jc w:val="center"/>
              <w:rPr>
                <w:sz w:val="18"/>
                <w:szCs w:val="18"/>
              </w:rPr>
            </w:pPr>
          </w:p>
        </w:tc>
        <w:tc>
          <w:tcPr>
            <w:tcW w:w="1134" w:type="dxa"/>
          </w:tcPr>
          <w:p w14:paraId="5D0CC6D7">
            <w:pPr>
              <w:pStyle w:val="27"/>
              <w:ind w:firstLine="0" w:firstLineChars="0"/>
              <w:jc w:val="center"/>
              <w:rPr>
                <w:sz w:val="18"/>
                <w:szCs w:val="18"/>
              </w:rPr>
            </w:pPr>
            <w:r>
              <w:rPr>
                <w:rFonts w:hint="eastAsia"/>
                <w:sz w:val="18"/>
                <w:szCs w:val="18"/>
              </w:rPr>
              <w:t>出厂检验</w:t>
            </w:r>
          </w:p>
        </w:tc>
        <w:tc>
          <w:tcPr>
            <w:tcW w:w="1134" w:type="dxa"/>
          </w:tcPr>
          <w:p w14:paraId="7021A2E3">
            <w:pPr>
              <w:pStyle w:val="27"/>
              <w:ind w:firstLine="0" w:firstLineChars="0"/>
              <w:jc w:val="center"/>
              <w:rPr>
                <w:sz w:val="18"/>
                <w:szCs w:val="18"/>
              </w:rPr>
            </w:pPr>
            <w:r>
              <w:rPr>
                <w:rFonts w:hint="eastAsia"/>
                <w:sz w:val="18"/>
                <w:szCs w:val="18"/>
              </w:rPr>
              <w:t>型式检验</w:t>
            </w:r>
          </w:p>
        </w:tc>
        <w:tc>
          <w:tcPr>
            <w:tcW w:w="2268" w:type="dxa"/>
            <w:vMerge w:val="continue"/>
          </w:tcPr>
          <w:p w14:paraId="6BE0AC5A">
            <w:pPr>
              <w:pStyle w:val="27"/>
              <w:ind w:firstLine="0" w:firstLineChars="0"/>
              <w:jc w:val="center"/>
              <w:rPr>
                <w:sz w:val="18"/>
                <w:szCs w:val="18"/>
              </w:rPr>
            </w:pPr>
          </w:p>
        </w:tc>
        <w:tc>
          <w:tcPr>
            <w:tcW w:w="2120" w:type="dxa"/>
            <w:vMerge w:val="continue"/>
          </w:tcPr>
          <w:p w14:paraId="26F02374">
            <w:pPr>
              <w:pStyle w:val="27"/>
              <w:ind w:firstLine="0" w:firstLineChars="0"/>
              <w:jc w:val="center"/>
              <w:rPr>
                <w:sz w:val="18"/>
                <w:szCs w:val="18"/>
              </w:rPr>
            </w:pPr>
          </w:p>
        </w:tc>
      </w:tr>
      <w:tr w14:paraId="7CF667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Merge w:val="restart"/>
          </w:tcPr>
          <w:p w14:paraId="53D4FA73">
            <w:pPr>
              <w:pStyle w:val="27"/>
              <w:ind w:firstLine="0" w:firstLineChars="0"/>
              <w:jc w:val="center"/>
              <w:rPr>
                <w:sz w:val="18"/>
                <w:szCs w:val="18"/>
              </w:rPr>
            </w:pPr>
            <w:r>
              <w:rPr>
                <w:rFonts w:hint="eastAsia"/>
                <w:sz w:val="18"/>
                <w:szCs w:val="18"/>
              </w:rPr>
              <w:t>外观</w:t>
            </w:r>
          </w:p>
        </w:tc>
        <w:tc>
          <w:tcPr>
            <w:tcW w:w="1418" w:type="dxa"/>
          </w:tcPr>
          <w:p w14:paraId="3B54D9AD">
            <w:pPr>
              <w:pStyle w:val="27"/>
              <w:ind w:firstLine="0" w:firstLineChars="0"/>
              <w:jc w:val="center"/>
              <w:rPr>
                <w:sz w:val="18"/>
                <w:szCs w:val="18"/>
              </w:rPr>
            </w:pPr>
            <w:r>
              <w:rPr>
                <w:rFonts w:hint="eastAsia"/>
                <w:sz w:val="18"/>
                <w:szCs w:val="18"/>
              </w:rPr>
              <w:t>尺寸</w:t>
            </w:r>
          </w:p>
        </w:tc>
        <w:tc>
          <w:tcPr>
            <w:tcW w:w="1134" w:type="dxa"/>
          </w:tcPr>
          <w:p w14:paraId="2DC5BB71">
            <w:pPr>
              <w:pStyle w:val="27"/>
              <w:ind w:firstLine="0" w:firstLineChars="0"/>
              <w:jc w:val="center"/>
              <w:rPr>
                <w:sz w:val="18"/>
                <w:szCs w:val="18"/>
              </w:rPr>
            </w:pPr>
            <w:r>
              <w:rPr>
                <w:rFonts w:hint="eastAsia"/>
                <w:sz w:val="18"/>
                <w:szCs w:val="18"/>
              </w:rPr>
              <w:t>√</w:t>
            </w:r>
          </w:p>
        </w:tc>
        <w:tc>
          <w:tcPr>
            <w:tcW w:w="1134" w:type="dxa"/>
          </w:tcPr>
          <w:p w14:paraId="1623F04E">
            <w:pPr>
              <w:pStyle w:val="27"/>
              <w:ind w:firstLine="0" w:firstLineChars="0"/>
              <w:jc w:val="center"/>
              <w:rPr>
                <w:sz w:val="18"/>
                <w:szCs w:val="18"/>
              </w:rPr>
            </w:pPr>
            <w:r>
              <w:rPr>
                <w:rFonts w:hint="eastAsia"/>
                <w:sz w:val="18"/>
                <w:szCs w:val="18"/>
              </w:rPr>
              <w:t>√</w:t>
            </w:r>
          </w:p>
        </w:tc>
        <w:tc>
          <w:tcPr>
            <w:tcW w:w="2268" w:type="dxa"/>
            <w:vMerge w:val="restart"/>
          </w:tcPr>
          <w:p w14:paraId="5EAA8EA4">
            <w:pPr>
              <w:pStyle w:val="27"/>
              <w:ind w:firstLine="0" w:firstLineChars="0"/>
              <w:jc w:val="center"/>
              <w:rPr>
                <w:sz w:val="18"/>
                <w:szCs w:val="18"/>
              </w:rPr>
            </w:pPr>
            <w:r>
              <w:rPr>
                <w:rFonts w:hint="eastAsia"/>
                <w:sz w:val="18"/>
                <w:szCs w:val="18"/>
              </w:rPr>
              <w:t>6.1节</w:t>
            </w:r>
          </w:p>
        </w:tc>
        <w:tc>
          <w:tcPr>
            <w:tcW w:w="2120" w:type="dxa"/>
          </w:tcPr>
          <w:p w14:paraId="78ABFD19">
            <w:pPr>
              <w:pStyle w:val="27"/>
              <w:ind w:firstLine="0" w:firstLineChars="0"/>
              <w:jc w:val="center"/>
              <w:rPr>
                <w:sz w:val="18"/>
                <w:szCs w:val="18"/>
              </w:rPr>
            </w:pPr>
            <w:r>
              <w:rPr>
                <w:sz w:val="18"/>
                <w:szCs w:val="18"/>
              </w:rPr>
              <w:t>7</w:t>
            </w:r>
            <w:r>
              <w:rPr>
                <w:rFonts w:hint="eastAsia"/>
                <w:sz w:val="18"/>
                <w:szCs w:val="18"/>
              </w:rPr>
              <w:t>.1节</w:t>
            </w:r>
          </w:p>
        </w:tc>
      </w:tr>
      <w:tr w14:paraId="70D504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Merge w:val="continue"/>
          </w:tcPr>
          <w:p w14:paraId="2FA50214">
            <w:pPr>
              <w:pStyle w:val="27"/>
              <w:ind w:firstLine="0" w:firstLineChars="0"/>
              <w:jc w:val="center"/>
              <w:rPr>
                <w:sz w:val="18"/>
                <w:szCs w:val="18"/>
              </w:rPr>
            </w:pPr>
          </w:p>
        </w:tc>
        <w:tc>
          <w:tcPr>
            <w:tcW w:w="1418" w:type="dxa"/>
          </w:tcPr>
          <w:p w14:paraId="796DDA98">
            <w:pPr>
              <w:pStyle w:val="27"/>
              <w:ind w:firstLine="0" w:firstLineChars="0"/>
              <w:jc w:val="center"/>
              <w:rPr>
                <w:sz w:val="18"/>
                <w:szCs w:val="18"/>
              </w:rPr>
            </w:pPr>
            <w:r>
              <w:rPr>
                <w:rFonts w:hint="eastAsia"/>
                <w:sz w:val="18"/>
                <w:szCs w:val="18"/>
              </w:rPr>
              <w:t>漆膜厚度</w:t>
            </w:r>
          </w:p>
        </w:tc>
        <w:tc>
          <w:tcPr>
            <w:tcW w:w="1134" w:type="dxa"/>
          </w:tcPr>
          <w:p w14:paraId="10C98E47">
            <w:pPr>
              <w:jc w:val="center"/>
              <w:rPr>
                <w:rFonts w:ascii="宋体"/>
                <w:sz w:val="18"/>
                <w:szCs w:val="18"/>
              </w:rPr>
            </w:pPr>
            <w:r>
              <w:rPr>
                <w:rFonts w:hint="eastAsia" w:ascii="宋体"/>
                <w:sz w:val="18"/>
                <w:szCs w:val="18"/>
              </w:rPr>
              <w:t>√</w:t>
            </w:r>
          </w:p>
        </w:tc>
        <w:tc>
          <w:tcPr>
            <w:tcW w:w="1134" w:type="dxa"/>
          </w:tcPr>
          <w:p w14:paraId="5BC6034E">
            <w:pPr>
              <w:pStyle w:val="27"/>
              <w:ind w:firstLine="0" w:firstLineChars="0"/>
              <w:jc w:val="center"/>
              <w:rPr>
                <w:sz w:val="18"/>
                <w:szCs w:val="18"/>
              </w:rPr>
            </w:pPr>
            <w:r>
              <w:rPr>
                <w:rFonts w:hint="eastAsia"/>
                <w:sz w:val="18"/>
                <w:szCs w:val="18"/>
              </w:rPr>
              <w:t>√</w:t>
            </w:r>
          </w:p>
        </w:tc>
        <w:tc>
          <w:tcPr>
            <w:tcW w:w="2268" w:type="dxa"/>
            <w:vMerge w:val="continue"/>
          </w:tcPr>
          <w:p w14:paraId="065EE0EF">
            <w:pPr>
              <w:pStyle w:val="27"/>
              <w:ind w:firstLine="0" w:firstLineChars="0"/>
              <w:jc w:val="center"/>
              <w:rPr>
                <w:sz w:val="18"/>
                <w:szCs w:val="18"/>
              </w:rPr>
            </w:pPr>
          </w:p>
        </w:tc>
        <w:tc>
          <w:tcPr>
            <w:tcW w:w="2120" w:type="dxa"/>
          </w:tcPr>
          <w:p w14:paraId="1B645D8F">
            <w:pPr>
              <w:pStyle w:val="27"/>
              <w:ind w:firstLine="0" w:firstLineChars="0"/>
              <w:jc w:val="center"/>
              <w:rPr>
                <w:sz w:val="18"/>
                <w:szCs w:val="18"/>
              </w:rPr>
            </w:pPr>
            <w:r>
              <w:rPr>
                <w:sz w:val="18"/>
                <w:szCs w:val="18"/>
              </w:rPr>
              <w:t>7</w:t>
            </w:r>
            <w:r>
              <w:rPr>
                <w:rFonts w:hint="eastAsia"/>
                <w:sz w:val="18"/>
                <w:szCs w:val="18"/>
              </w:rPr>
              <w:t>.2节</w:t>
            </w:r>
          </w:p>
        </w:tc>
      </w:tr>
      <w:tr w14:paraId="71147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9" w:type="dxa"/>
            <w:gridSpan w:val="2"/>
          </w:tcPr>
          <w:p w14:paraId="6712B345">
            <w:pPr>
              <w:pStyle w:val="27"/>
              <w:ind w:firstLine="0" w:firstLineChars="0"/>
              <w:jc w:val="center"/>
              <w:rPr>
                <w:sz w:val="18"/>
                <w:szCs w:val="18"/>
              </w:rPr>
            </w:pPr>
            <w:r>
              <w:rPr>
                <w:rFonts w:hint="eastAsia"/>
                <w:sz w:val="18"/>
                <w:szCs w:val="18"/>
              </w:rPr>
              <w:t>绝缘电阻</w:t>
            </w:r>
          </w:p>
        </w:tc>
        <w:tc>
          <w:tcPr>
            <w:tcW w:w="1134" w:type="dxa"/>
          </w:tcPr>
          <w:p w14:paraId="4FFA2F3D">
            <w:pPr>
              <w:pStyle w:val="27"/>
              <w:ind w:firstLine="0" w:firstLineChars="0"/>
              <w:jc w:val="center"/>
              <w:rPr>
                <w:sz w:val="18"/>
                <w:szCs w:val="18"/>
              </w:rPr>
            </w:pPr>
            <w:r>
              <w:rPr>
                <w:rFonts w:hint="eastAsia"/>
                <w:sz w:val="18"/>
                <w:szCs w:val="18"/>
              </w:rPr>
              <w:t>一</w:t>
            </w:r>
          </w:p>
        </w:tc>
        <w:tc>
          <w:tcPr>
            <w:tcW w:w="1134" w:type="dxa"/>
          </w:tcPr>
          <w:p w14:paraId="0851AE7E">
            <w:pPr>
              <w:jc w:val="center"/>
              <w:rPr>
                <w:rFonts w:ascii="宋体"/>
                <w:sz w:val="18"/>
                <w:szCs w:val="18"/>
              </w:rPr>
            </w:pPr>
            <w:r>
              <w:rPr>
                <w:rFonts w:hint="eastAsia" w:ascii="宋体"/>
                <w:sz w:val="18"/>
                <w:szCs w:val="18"/>
              </w:rPr>
              <w:t>√</w:t>
            </w:r>
          </w:p>
        </w:tc>
        <w:tc>
          <w:tcPr>
            <w:tcW w:w="2268" w:type="dxa"/>
            <w:vMerge w:val="restart"/>
          </w:tcPr>
          <w:p w14:paraId="62CCCBA9">
            <w:pPr>
              <w:pStyle w:val="27"/>
              <w:ind w:firstLine="0" w:firstLineChars="0"/>
              <w:jc w:val="center"/>
              <w:rPr>
                <w:sz w:val="18"/>
                <w:szCs w:val="18"/>
              </w:rPr>
            </w:pPr>
          </w:p>
          <w:p w14:paraId="6AF3C3E0">
            <w:pPr>
              <w:pStyle w:val="27"/>
              <w:ind w:firstLine="0" w:firstLineChars="0"/>
              <w:jc w:val="center"/>
              <w:rPr>
                <w:sz w:val="18"/>
                <w:szCs w:val="18"/>
              </w:rPr>
            </w:pPr>
            <w:r>
              <w:rPr>
                <w:rFonts w:hint="eastAsia"/>
                <w:sz w:val="18"/>
                <w:szCs w:val="18"/>
              </w:rPr>
              <w:t>6.5节</w:t>
            </w:r>
          </w:p>
        </w:tc>
        <w:tc>
          <w:tcPr>
            <w:tcW w:w="2120" w:type="dxa"/>
          </w:tcPr>
          <w:p w14:paraId="74504780">
            <w:pPr>
              <w:pStyle w:val="27"/>
              <w:ind w:firstLine="0" w:firstLineChars="0"/>
              <w:jc w:val="center"/>
              <w:rPr>
                <w:sz w:val="18"/>
                <w:szCs w:val="18"/>
              </w:rPr>
            </w:pPr>
            <w:r>
              <w:rPr>
                <w:sz w:val="18"/>
                <w:szCs w:val="18"/>
              </w:rPr>
              <w:t>7</w:t>
            </w:r>
            <w:r>
              <w:rPr>
                <w:rFonts w:hint="eastAsia"/>
                <w:sz w:val="18"/>
                <w:szCs w:val="18"/>
              </w:rPr>
              <w:t>.3节</w:t>
            </w:r>
          </w:p>
        </w:tc>
      </w:tr>
      <w:tr w14:paraId="4E23C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9" w:type="dxa"/>
            <w:gridSpan w:val="2"/>
          </w:tcPr>
          <w:p w14:paraId="648F8B10">
            <w:pPr>
              <w:pStyle w:val="27"/>
              <w:ind w:firstLine="0" w:firstLineChars="0"/>
              <w:jc w:val="center"/>
              <w:rPr>
                <w:sz w:val="18"/>
                <w:szCs w:val="18"/>
              </w:rPr>
            </w:pPr>
            <w:r>
              <w:rPr>
                <w:rFonts w:hint="eastAsia"/>
                <w:sz w:val="18"/>
                <w:szCs w:val="18"/>
              </w:rPr>
              <w:t>交流耐压</w:t>
            </w:r>
          </w:p>
        </w:tc>
        <w:tc>
          <w:tcPr>
            <w:tcW w:w="1134" w:type="dxa"/>
          </w:tcPr>
          <w:p w14:paraId="7450FA56">
            <w:pPr>
              <w:pStyle w:val="27"/>
              <w:ind w:firstLine="0" w:firstLineChars="0"/>
              <w:jc w:val="center"/>
              <w:rPr>
                <w:sz w:val="18"/>
                <w:szCs w:val="18"/>
              </w:rPr>
            </w:pPr>
            <w:r>
              <w:rPr>
                <w:rFonts w:hint="eastAsia"/>
                <w:sz w:val="18"/>
                <w:szCs w:val="18"/>
              </w:rPr>
              <w:t>一</w:t>
            </w:r>
          </w:p>
        </w:tc>
        <w:tc>
          <w:tcPr>
            <w:tcW w:w="1134" w:type="dxa"/>
          </w:tcPr>
          <w:p w14:paraId="7B93928E">
            <w:pPr>
              <w:jc w:val="center"/>
              <w:rPr>
                <w:rFonts w:ascii="宋体"/>
                <w:sz w:val="18"/>
                <w:szCs w:val="18"/>
              </w:rPr>
            </w:pPr>
            <w:r>
              <w:rPr>
                <w:rFonts w:hint="eastAsia" w:ascii="宋体"/>
                <w:sz w:val="18"/>
                <w:szCs w:val="18"/>
              </w:rPr>
              <w:t>√</w:t>
            </w:r>
          </w:p>
        </w:tc>
        <w:tc>
          <w:tcPr>
            <w:tcW w:w="2268" w:type="dxa"/>
            <w:vMerge w:val="continue"/>
          </w:tcPr>
          <w:p w14:paraId="192BA532">
            <w:pPr>
              <w:pStyle w:val="27"/>
              <w:ind w:firstLine="0" w:firstLineChars="0"/>
              <w:jc w:val="center"/>
              <w:rPr>
                <w:sz w:val="18"/>
                <w:szCs w:val="18"/>
              </w:rPr>
            </w:pPr>
          </w:p>
        </w:tc>
        <w:tc>
          <w:tcPr>
            <w:tcW w:w="2120" w:type="dxa"/>
          </w:tcPr>
          <w:p w14:paraId="2F574F49">
            <w:pPr>
              <w:pStyle w:val="27"/>
              <w:ind w:firstLine="0" w:firstLineChars="0"/>
              <w:jc w:val="center"/>
              <w:rPr>
                <w:sz w:val="18"/>
                <w:szCs w:val="18"/>
              </w:rPr>
            </w:pPr>
            <w:r>
              <w:rPr>
                <w:sz w:val="18"/>
                <w:szCs w:val="18"/>
              </w:rPr>
              <w:t>7</w:t>
            </w:r>
            <w:r>
              <w:rPr>
                <w:rFonts w:hint="eastAsia"/>
                <w:sz w:val="18"/>
                <w:szCs w:val="18"/>
              </w:rPr>
              <w:t>.4节</w:t>
            </w:r>
          </w:p>
        </w:tc>
      </w:tr>
      <w:tr w14:paraId="75CDB2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9" w:type="dxa"/>
            <w:gridSpan w:val="2"/>
          </w:tcPr>
          <w:p w14:paraId="57A4B433">
            <w:pPr>
              <w:pStyle w:val="27"/>
              <w:ind w:firstLine="0" w:firstLineChars="0"/>
              <w:jc w:val="center"/>
              <w:rPr>
                <w:sz w:val="18"/>
                <w:szCs w:val="18"/>
              </w:rPr>
            </w:pPr>
            <w:r>
              <w:rPr>
                <w:rFonts w:hint="eastAsia"/>
                <w:sz w:val="18"/>
                <w:szCs w:val="18"/>
              </w:rPr>
              <w:t>接地保护</w:t>
            </w:r>
          </w:p>
        </w:tc>
        <w:tc>
          <w:tcPr>
            <w:tcW w:w="1134" w:type="dxa"/>
          </w:tcPr>
          <w:p w14:paraId="380CC5E7">
            <w:pPr>
              <w:pStyle w:val="27"/>
              <w:ind w:firstLine="0" w:firstLineChars="0"/>
              <w:jc w:val="center"/>
              <w:rPr>
                <w:sz w:val="18"/>
                <w:szCs w:val="18"/>
              </w:rPr>
            </w:pPr>
            <w:r>
              <w:rPr>
                <w:rFonts w:hint="eastAsia"/>
                <w:sz w:val="18"/>
                <w:szCs w:val="18"/>
              </w:rPr>
              <w:t>一</w:t>
            </w:r>
          </w:p>
        </w:tc>
        <w:tc>
          <w:tcPr>
            <w:tcW w:w="1134" w:type="dxa"/>
          </w:tcPr>
          <w:p w14:paraId="068178C2">
            <w:pPr>
              <w:jc w:val="center"/>
              <w:rPr>
                <w:rFonts w:ascii="宋体"/>
                <w:sz w:val="18"/>
                <w:szCs w:val="18"/>
              </w:rPr>
            </w:pPr>
            <w:r>
              <w:rPr>
                <w:rFonts w:hint="eastAsia" w:ascii="宋体"/>
                <w:sz w:val="18"/>
                <w:szCs w:val="18"/>
              </w:rPr>
              <w:t>√</w:t>
            </w:r>
          </w:p>
        </w:tc>
        <w:tc>
          <w:tcPr>
            <w:tcW w:w="2268" w:type="dxa"/>
            <w:vMerge w:val="continue"/>
          </w:tcPr>
          <w:p w14:paraId="2EC7B0CC">
            <w:pPr>
              <w:pStyle w:val="27"/>
              <w:ind w:firstLine="0" w:firstLineChars="0"/>
              <w:jc w:val="center"/>
              <w:rPr>
                <w:sz w:val="18"/>
                <w:szCs w:val="18"/>
              </w:rPr>
            </w:pPr>
          </w:p>
        </w:tc>
        <w:tc>
          <w:tcPr>
            <w:tcW w:w="2120" w:type="dxa"/>
          </w:tcPr>
          <w:p w14:paraId="630AA264">
            <w:pPr>
              <w:pStyle w:val="27"/>
              <w:ind w:firstLine="0" w:firstLineChars="0"/>
              <w:jc w:val="center"/>
              <w:rPr>
                <w:sz w:val="18"/>
                <w:szCs w:val="18"/>
              </w:rPr>
            </w:pPr>
            <w:r>
              <w:rPr>
                <w:sz w:val="18"/>
                <w:szCs w:val="18"/>
              </w:rPr>
              <w:t>7</w:t>
            </w:r>
            <w:r>
              <w:rPr>
                <w:rFonts w:hint="eastAsia"/>
                <w:sz w:val="18"/>
                <w:szCs w:val="18"/>
              </w:rPr>
              <w:t>.5节</w:t>
            </w:r>
          </w:p>
        </w:tc>
      </w:tr>
      <w:tr w14:paraId="5C6C0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9" w:type="dxa"/>
            <w:gridSpan w:val="2"/>
          </w:tcPr>
          <w:p w14:paraId="56D302F7">
            <w:pPr>
              <w:pStyle w:val="27"/>
              <w:ind w:firstLine="0" w:firstLineChars="0"/>
              <w:jc w:val="center"/>
              <w:rPr>
                <w:sz w:val="18"/>
                <w:szCs w:val="18"/>
              </w:rPr>
            </w:pPr>
            <w:r>
              <w:rPr>
                <w:rFonts w:hint="eastAsia"/>
                <w:sz w:val="18"/>
                <w:szCs w:val="18"/>
              </w:rPr>
              <w:t>柜门开关试验</w:t>
            </w:r>
          </w:p>
        </w:tc>
        <w:tc>
          <w:tcPr>
            <w:tcW w:w="1134" w:type="dxa"/>
          </w:tcPr>
          <w:p w14:paraId="7F87AE52">
            <w:pPr>
              <w:pStyle w:val="27"/>
              <w:ind w:firstLine="0" w:firstLineChars="0"/>
              <w:jc w:val="center"/>
              <w:rPr>
                <w:sz w:val="18"/>
                <w:szCs w:val="18"/>
              </w:rPr>
            </w:pPr>
            <w:r>
              <w:rPr>
                <w:rFonts w:hint="eastAsia"/>
                <w:sz w:val="18"/>
                <w:szCs w:val="18"/>
              </w:rPr>
              <w:t>一</w:t>
            </w:r>
          </w:p>
        </w:tc>
        <w:tc>
          <w:tcPr>
            <w:tcW w:w="1134" w:type="dxa"/>
          </w:tcPr>
          <w:p w14:paraId="365668AB">
            <w:pPr>
              <w:jc w:val="center"/>
              <w:rPr>
                <w:rFonts w:ascii="宋体"/>
                <w:sz w:val="18"/>
                <w:szCs w:val="18"/>
              </w:rPr>
            </w:pPr>
            <w:r>
              <w:rPr>
                <w:rFonts w:hint="eastAsia" w:ascii="宋体"/>
                <w:sz w:val="18"/>
                <w:szCs w:val="18"/>
              </w:rPr>
              <w:t>√</w:t>
            </w:r>
          </w:p>
        </w:tc>
        <w:tc>
          <w:tcPr>
            <w:tcW w:w="2268" w:type="dxa"/>
          </w:tcPr>
          <w:p w14:paraId="0930EB59">
            <w:pPr>
              <w:pStyle w:val="27"/>
              <w:ind w:firstLine="0" w:firstLineChars="0"/>
              <w:jc w:val="center"/>
              <w:rPr>
                <w:sz w:val="18"/>
                <w:szCs w:val="18"/>
              </w:rPr>
            </w:pPr>
            <w:r>
              <w:rPr>
                <w:rFonts w:hint="eastAsia"/>
                <w:sz w:val="18"/>
                <w:szCs w:val="18"/>
              </w:rPr>
              <w:t>5.1.10节</w:t>
            </w:r>
          </w:p>
        </w:tc>
        <w:tc>
          <w:tcPr>
            <w:tcW w:w="2120" w:type="dxa"/>
          </w:tcPr>
          <w:p w14:paraId="0316BD3E">
            <w:pPr>
              <w:pStyle w:val="27"/>
              <w:ind w:firstLine="0" w:firstLineChars="0"/>
              <w:jc w:val="center"/>
              <w:rPr>
                <w:sz w:val="18"/>
                <w:szCs w:val="18"/>
              </w:rPr>
            </w:pPr>
            <w:r>
              <w:rPr>
                <w:sz w:val="18"/>
                <w:szCs w:val="18"/>
              </w:rPr>
              <w:t>7</w:t>
            </w:r>
            <w:r>
              <w:rPr>
                <w:rFonts w:hint="eastAsia"/>
                <w:sz w:val="18"/>
                <w:szCs w:val="18"/>
              </w:rPr>
              <w:t>.6节</w:t>
            </w:r>
          </w:p>
        </w:tc>
      </w:tr>
    </w:tbl>
    <w:p w14:paraId="201080F1">
      <w:pPr>
        <w:pStyle w:val="27"/>
        <w:ind w:firstLine="0" w:firstLineChars="0"/>
      </w:pPr>
    </w:p>
    <w:p w14:paraId="1C1BA287">
      <w:pPr>
        <w:pStyle w:val="45"/>
        <w:ind w:left="0"/>
      </w:pPr>
      <w:bookmarkStart w:id="187" w:name="_Toc225759329"/>
      <w:r>
        <w:rPr>
          <w:rFonts w:hint="eastAsia"/>
        </w:rPr>
        <w:t>出厂检验</w:t>
      </w:r>
      <w:bookmarkEnd w:id="187"/>
    </w:p>
    <w:p w14:paraId="249E02EC">
      <w:pPr>
        <w:pStyle w:val="27"/>
        <w:ind w:left="420" w:firstLine="0" w:firstLineChars="0"/>
      </w:pPr>
      <w:r>
        <w:rPr>
          <w:rFonts w:hint="eastAsia"/>
        </w:rPr>
        <w:t>通风柜应逐台进行出厂检验，检验合格后方可出厂。</w:t>
      </w:r>
    </w:p>
    <w:p w14:paraId="4EB1C852">
      <w:pPr>
        <w:pStyle w:val="45"/>
        <w:ind w:left="0"/>
      </w:pPr>
      <w:bookmarkStart w:id="188" w:name="_Toc225759330"/>
      <w:r>
        <w:rPr>
          <w:rFonts w:hint="eastAsia"/>
        </w:rPr>
        <w:t>型式检验</w:t>
      </w:r>
      <w:bookmarkEnd w:id="188"/>
    </w:p>
    <w:p w14:paraId="615CBC90">
      <w:pPr>
        <w:pStyle w:val="49"/>
        <w:spacing w:before="156" w:after="156"/>
        <w:ind w:left="0"/>
        <w:rPr>
          <w:rFonts w:ascii="宋体" w:hAnsi="宋体" w:eastAsia="宋体"/>
        </w:rPr>
      </w:pPr>
      <w:r>
        <w:rPr>
          <w:rFonts w:hint="eastAsia" w:ascii="宋体" w:hAnsi="宋体" w:eastAsia="宋体"/>
        </w:rPr>
        <w:t>有下列情形之一时，应进行型式检验：</w:t>
      </w:r>
    </w:p>
    <w:p w14:paraId="3C14118F">
      <w:pPr>
        <w:pStyle w:val="27"/>
        <w:numPr>
          <w:ilvl w:val="0"/>
          <w:numId w:val="18"/>
        </w:numPr>
        <w:ind w:firstLineChars="0"/>
      </w:pPr>
      <w:r>
        <w:rPr>
          <w:rFonts w:hint="eastAsia"/>
        </w:rPr>
        <w:t>新产品试制定型；</w:t>
      </w:r>
    </w:p>
    <w:p w14:paraId="0E069FD2">
      <w:pPr>
        <w:pStyle w:val="27"/>
        <w:numPr>
          <w:ilvl w:val="0"/>
          <w:numId w:val="18"/>
        </w:numPr>
        <w:ind w:firstLineChars="0"/>
      </w:pPr>
      <w:r>
        <w:t>产品正式生产后，如产品结构、材料、工艺有较大改变，可能影响产品性能。</w:t>
      </w:r>
    </w:p>
    <w:p w14:paraId="1469893F">
      <w:pPr>
        <w:pStyle w:val="49"/>
        <w:spacing w:before="156" w:after="156"/>
        <w:ind w:left="0"/>
        <w:rPr>
          <w:rFonts w:ascii="宋体" w:hAnsi="宋体" w:eastAsia="宋体"/>
        </w:rPr>
      </w:pPr>
      <w:r>
        <w:rPr>
          <w:rFonts w:ascii="宋体" w:hAnsi="宋体" w:eastAsia="宋体"/>
        </w:rPr>
        <w:t>型式试验的全部试验项目应符合表2</w:t>
      </w:r>
      <w:r>
        <w:rPr>
          <w:rFonts w:hint="eastAsia" w:ascii="宋体" w:hAnsi="宋体" w:eastAsia="宋体"/>
        </w:rPr>
        <w:t>的规定。</w:t>
      </w:r>
    </w:p>
    <w:p w14:paraId="526C52B5">
      <w:pPr>
        <w:pStyle w:val="48"/>
        <w:rPr>
          <w:szCs w:val="21"/>
        </w:rPr>
      </w:pPr>
      <w:bookmarkStart w:id="189" w:name="_Toc225759331"/>
      <w:r>
        <w:rPr>
          <w:rFonts w:hint="eastAsia"/>
          <w:szCs w:val="21"/>
        </w:rPr>
        <w:t>标志、包装、运输和贮存</w:t>
      </w:r>
      <w:bookmarkEnd w:id="189"/>
    </w:p>
    <w:p w14:paraId="4D06126B">
      <w:pPr>
        <w:pStyle w:val="45"/>
        <w:ind w:left="0"/>
      </w:pPr>
      <w:bookmarkStart w:id="190" w:name="_Toc225759332"/>
      <w:r>
        <w:rPr>
          <w:rFonts w:hint="eastAsia"/>
        </w:rPr>
        <w:t>标志</w:t>
      </w:r>
      <w:bookmarkEnd w:id="190"/>
    </w:p>
    <w:p w14:paraId="0A78A30C">
      <w:pPr>
        <w:pStyle w:val="27"/>
      </w:pPr>
      <w:r>
        <w:t>每台通风柜应在明显位置设置永久性铭牌，铭牌应满足</w:t>
      </w:r>
      <w:r>
        <w:rPr>
          <w:rFonts w:hint="eastAsia"/>
        </w:rPr>
        <w:t>G</w:t>
      </w:r>
      <w:r>
        <w:t>B/T 13306的规定，且</w:t>
      </w:r>
      <w:r>
        <w:rPr>
          <w:rFonts w:hint="eastAsia"/>
        </w:rPr>
        <w:t>至少</w:t>
      </w:r>
      <w:r>
        <w:t>包含如下内容：</w:t>
      </w:r>
    </w:p>
    <w:p w14:paraId="7BBAD3ED">
      <w:pPr>
        <w:pStyle w:val="27"/>
        <w:numPr>
          <w:ilvl w:val="255"/>
          <w:numId w:val="0"/>
        </w:numPr>
        <w:autoSpaceDE/>
        <w:autoSpaceDN/>
        <w:ind w:left="420" w:leftChars="200"/>
      </w:pPr>
      <w:r>
        <w:rPr>
          <w:rFonts w:hint="eastAsia"/>
        </w:rPr>
        <w:t>a）</w:t>
      </w:r>
      <w:r>
        <w:t>通风柜名称、编码；</w:t>
      </w:r>
    </w:p>
    <w:p w14:paraId="0428F135">
      <w:pPr>
        <w:pStyle w:val="27"/>
        <w:numPr>
          <w:ilvl w:val="255"/>
          <w:numId w:val="0"/>
        </w:numPr>
        <w:autoSpaceDE/>
        <w:autoSpaceDN/>
        <w:ind w:left="420" w:leftChars="200"/>
      </w:pPr>
      <w:r>
        <w:rPr>
          <w:rFonts w:hint="eastAsia"/>
        </w:rPr>
        <w:t>b）</w:t>
      </w:r>
      <w:r>
        <w:t>通风柜型号；</w:t>
      </w:r>
    </w:p>
    <w:p w14:paraId="7FE084D7">
      <w:pPr>
        <w:pStyle w:val="27"/>
        <w:numPr>
          <w:ilvl w:val="255"/>
          <w:numId w:val="0"/>
        </w:numPr>
        <w:autoSpaceDE/>
        <w:autoSpaceDN/>
        <w:ind w:left="420" w:leftChars="200"/>
      </w:pPr>
      <w:r>
        <w:rPr>
          <w:rFonts w:hint="eastAsia"/>
        </w:rPr>
        <w:t>c）</w:t>
      </w:r>
      <w:r>
        <w:t>主要技术参数：外形尺寸、重量、电压、功率；</w:t>
      </w:r>
    </w:p>
    <w:p w14:paraId="0B9D3559">
      <w:pPr>
        <w:pStyle w:val="27"/>
        <w:numPr>
          <w:ilvl w:val="255"/>
          <w:numId w:val="0"/>
        </w:numPr>
        <w:autoSpaceDE/>
        <w:autoSpaceDN/>
        <w:ind w:left="420" w:leftChars="200"/>
      </w:pPr>
      <w:r>
        <w:rPr>
          <w:rFonts w:hint="eastAsia"/>
        </w:rPr>
        <w:t>d）</w:t>
      </w:r>
      <w:r>
        <w:t>制造商名称；</w:t>
      </w:r>
    </w:p>
    <w:p w14:paraId="24DA476D">
      <w:pPr>
        <w:pStyle w:val="27"/>
        <w:numPr>
          <w:ilvl w:val="255"/>
          <w:numId w:val="0"/>
        </w:numPr>
        <w:autoSpaceDE/>
        <w:autoSpaceDN/>
        <w:ind w:left="420" w:leftChars="200"/>
      </w:pPr>
      <w:r>
        <w:rPr>
          <w:rFonts w:hint="eastAsia"/>
        </w:rPr>
        <w:t>e）</w:t>
      </w:r>
      <w:r>
        <w:t>出厂日期。</w:t>
      </w:r>
    </w:p>
    <w:p w14:paraId="4FA1C5D7">
      <w:pPr>
        <w:pStyle w:val="45"/>
        <w:ind w:left="0"/>
      </w:pPr>
      <w:bookmarkStart w:id="191" w:name="_Toc225759333"/>
      <w:r>
        <w:rPr>
          <w:rFonts w:hint="eastAsia"/>
        </w:rPr>
        <w:t>包装</w:t>
      </w:r>
      <w:bookmarkEnd w:id="191"/>
    </w:p>
    <w:p w14:paraId="080AA201">
      <w:pPr>
        <w:pStyle w:val="49"/>
        <w:spacing w:before="0" w:beforeLines="0" w:after="0" w:afterLines="0"/>
        <w:ind w:left="0"/>
        <w:rPr>
          <w:rFonts w:ascii="宋体" w:hAnsi="宋体" w:eastAsia="宋体"/>
        </w:rPr>
      </w:pPr>
      <w:r>
        <w:rPr>
          <w:rFonts w:ascii="宋体" w:hAnsi="宋体" w:eastAsia="宋体"/>
        </w:rPr>
        <w:t>通风柜在包装前应进行清洁处理，保证各部件干燥、清洁，易锈部件应涂防锈剂。</w:t>
      </w:r>
    </w:p>
    <w:p w14:paraId="0D1CA669">
      <w:pPr>
        <w:pStyle w:val="49"/>
        <w:spacing w:before="0" w:beforeLines="0" w:after="0" w:afterLines="0"/>
        <w:ind w:left="0"/>
        <w:rPr>
          <w:rFonts w:ascii="宋体" w:hAnsi="宋体" w:eastAsia="宋体"/>
        </w:rPr>
      </w:pPr>
      <w:r>
        <w:rPr>
          <w:rFonts w:ascii="宋体" w:hAnsi="宋体" w:eastAsia="宋体"/>
        </w:rPr>
        <w:t>通风柜应固定在包装箱内，并</w:t>
      </w:r>
      <w:r>
        <w:rPr>
          <w:rFonts w:hint="eastAsia" w:ascii="宋体" w:hAnsi="宋体" w:eastAsia="宋体"/>
        </w:rPr>
        <w:t>符合</w:t>
      </w:r>
      <w:r>
        <w:rPr>
          <w:rFonts w:ascii="宋体" w:hAnsi="宋体" w:eastAsia="宋体"/>
        </w:rPr>
        <w:t>NB</w:t>
      </w:r>
      <w:r>
        <w:rPr>
          <w:rFonts w:hint="eastAsia" w:ascii="宋体" w:hAnsi="宋体" w:eastAsia="宋体"/>
        </w:rPr>
        <w:t>/T</w:t>
      </w:r>
      <w:r>
        <w:rPr>
          <w:rFonts w:ascii="宋体" w:hAnsi="宋体" w:eastAsia="宋体"/>
        </w:rPr>
        <w:t xml:space="preserve"> 20408</w:t>
      </w:r>
      <w:r>
        <w:rPr>
          <w:rFonts w:hint="eastAsia" w:ascii="宋体" w:hAnsi="宋体" w:eastAsia="宋体"/>
        </w:rPr>
        <w:t>的规定。</w:t>
      </w:r>
    </w:p>
    <w:p w14:paraId="0A514447">
      <w:pPr>
        <w:pStyle w:val="49"/>
        <w:spacing w:before="0" w:beforeLines="0" w:after="0" w:afterLines="0"/>
        <w:ind w:left="0"/>
        <w:rPr>
          <w:rFonts w:ascii="宋体" w:hAnsi="宋体" w:eastAsia="宋体"/>
        </w:rPr>
      </w:pPr>
      <w:r>
        <w:rPr>
          <w:rFonts w:ascii="宋体" w:hAnsi="宋体" w:eastAsia="宋体"/>
        </w:rPr>
        <w:t>包装内应附随机文件，包括产品合格证、产品说明书和装箱单等。</w:t>
      </w:r>
    </w:p>
    <w:p w14:paraId="48E73869">
      <w:pPr>
        <w:pStyle w:val="45"/>
        <w:ind w:left="0"/>
      </w:pPr>
      <w:bookmarkStart w:id="192" w:name="_Toc225759334"/>
      <w:r>
        <w:rPr>
          <w:rFonts w:hint="eastAsia"/>
        </w:rPr>
        <w:t>运输和贮存</w:t>
      </w:r>
      <w:bookmarkEnd w:id="192"/>
    </w:p>
    <w:p w14:paraId="2A45B517">
      <w:pPr>
        <w:pStyle w:val="49"/>
        <w:spacing w:before="0" w:beforeLines="0" w:after="0" w:afterLines="0"/>
        <w:ind w:left="0"/>
        <w:rPr>
          <w:rFonts w:ascii="宋体" w:hAnsi="宋体" w:eastAsia="宋体"/>
        </w:rPr>
      </w:pPr>
      <w:r>
        <w:rPr>
          <w:rFonts w:ascii="宋体" w:hAnsi="宋体" w:eastAsia="宋体"/>
        </w:rPr>
        <w:t>通风柜在运输和贮存过程中，应防止剧烈振动、倾斜或遭受雨雪淋袭，严禁抛掷、碰撞等。</w:t>
      </w:r>
    </w:p>
    <w:p w14:paraId="378132E2">
      <w:pPr>
        <w:pStyle w:val="49"/>
        <w:spacing w:before="0" w:beforeLines="0" w:after="0" w:afterLines="0"/>
        <w:ind w:left="0"/>
        <w:rPr>
          <w:rFonts w:ascii="宋体" w:hAnsi="宋体" w:eastAsia="宋体"/>
        </w:rPr>
      </w:pPr>
      <w:r>
        <w:rPr>
          <w:rFonts w:ascii="宋体" w:hAnsi="宋体" w:eastAsia="宋体"/>
        </w:rPr>
        <w:t>通风柜应贮存在干燥且通风良好的场所中，并注意电气系统的防潮。</w:t>
      </w:r>
    </w:p>
    <w:p w14:paraId="79CFB6BF">
      <w:pPr>
        <w:pStyle w:val="27"/>
        <w:ind w:firstLine="0" w:firstLineChars="0"/>
      </w:pPr>
    </w:p>
    <w:p w14:paraId="221C55D4">
      <w:pPr>
        <w:pStyle w:val="27"/>
        <w:ind w:firstLine="0" w:firstLineChars="0"/>
      </w:pPr>
      <w:r>
        <mc:AlternateContent>
          <mc:Choice Requires="wps">
            <w:drawing>
              <wp:anchor distT="0" distB="0" distL="114300" distR="114300" simplePos="0" relativeHeight="251665408" behindDoc="0" locked="0" layoutInCell="1" allowOverlap="1">
                <wp:simplePos x="0" y="0"/>
                <wp:positionH relativeFrom="margin">
                  <wp:posOffset>2183130</wp:posOffset>
                </wp:positionH>
                <wp:positionV relativeFrom="paragraph">
                  <wp:posOffset>317500</wp:posOffset>
                </wp:positionV>
                <wp:extent cx="1694815" cy="15240"/>
                <wp:effectExtent l="0" t="0" r="0" b="0"/>
                <wp:wrapNone/>
                <wp:docPr id="5" name="直接连接符 5"/>
                <wp:cNvGraphicFramePr/>
                <a:graphic xmlns:a="http://schemas.openxmlformats.org/drawingml/2006/main">
                  <a:graphicData uri="http://schemas.microsoft.com/office/word/2010/wordprocessingShape">
                    <wps:wsp>
                      <wps:cNvCnPr/>
                      <wps:spPr>
                        <a:xfrm>
                          <a:off x="0" y="0"/>
                          <a:ext cx="1694815" cy="15240"/>
                        </a:xfrm>
                        <a:prstGeom prst="line">
                          <a:avLst/>
                        </a:prstGeom>
                        <a:ln>
                          <a:solidFill>
                            <a:schemeClr val="tx1"/>
                          </a:solidFill>
                        </a:ln>
                      </wps:spPr>
                      <wps:style>
                        <a:lnRef idx="3">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71.9pt;margin-top:25pt;height:1.2pt;width:133.45pt;mso-position-horizontal-relative:margin;z-index:251665408;mso-width-relative:page;mso-height-relative:page;" filled="f" stroked="t" coordsize="21600,21600" o:gfxdata="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Z1&#10;qGHZAAAACQEAAA8AAAAAAAAAAQAgAAAAIgAAAGRycy9kb3ducmV2LnhtbFBLAQIUABQAAAAIAIdO&#10;4kA7csEB6QEAALYDAAAOAAAAAAAAAAEAIAAAACgBAABkcnMvZTJvRG9jLnhtbFBLBQYAAAAABgAG&#10;AFkBAACDBQAAAAA=&#10;">
                <v:fill on="f" focussize="0,0"/>
                <v:stroke weight="1.5pt" color="#000000 [3213]" miterlimit="8" joinstyle="miter"/>
                <v:imagedata o:title=""/>
                <o:lock v:ext="edit" aspectratio="f"/>
              </v:line>
            </w:pict>
          </mc:Fallback>
        </mc:AlternateContent>
      </w:r>
    </w:p>
    <w:sectPr>
      <w:footerReference r:id="rId7" w:type="default"/>
      <w:footerReference r:id="rId8" w:type="even"/>
      <w:pgSz w:w="11906" w:h="16838"/>
      <w:pgMar w:top="1134" w:right="1417" w:bottom="567" w:left="1134"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体">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9DF2">
    <w:pPr>
      <w:pStyle w:val="71"/>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F5D47">
    <w:pPr>
      <w:pStyle w:val="46"/>
    </w:pPr>
    <w:r>
      <w:fldChar w:fldCharType="begin"/>
    </w:r>
    <w:r>
      <w:instrText xml:space="preserve"> PAGE  \* MERGEFORMAT </w:instrText>
    </w:r>
    <w:r>
      <w:fldChar w:fldCharType="separate"/>
    </w:r>
    <w: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9B291">
    <w:pPr>
      <w:pStyle w:val="21"/>
    </w:pP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5AFCDE">
                          <w:pPr>
                            <w:pStyle w:val="21"/>
                          </w:pPr>
                          <w:r>
                            <w:rPr>
                              <w:rStyle w:val="40"/>
                            </w:rPr>
                            <w:fldChar w:fldCharType="begin"/>
                          </w:r>
                          <w:r>
                            <w:rPr>
                              <w:rStyle w:val="40"/>
                            </w:rPr>
                            <w:instrText xml:space="preserve"> PAGE </w:instrText>
                          </w:r>
                          <w:r>
                            <w:rPr>
                              <w:rStyle w:val="40"/>
                            </w:rPr>
                            <w:fldChar w:fldCharType="separate"/>
                          </w:r>
                          <w:r>
                            <w:rPr>
                              <w:rStyle w:val="40"/>
                            </w:rPr>
                            <w:t>4</w:t>
                          </w:r>
                          <w:r>
                            <w:rPr>
                              <w:rStyle w:val="4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615AFCDE">
                    <w:pPr>
                      <w:pStyle w:val="21"/>
                    </w:pPr>
                    <w:r>
                      <w:rPr>
                        <w:rStyle w:val="40"/>
                      </w:rPr>
                      <w:fldChar w:fldCharType="begin"/>
                    </w:r>
                    <w:r>
                      <w:rPr>
                        <w:rStyle w:val="40"/>
                      </w:rPr>
                      <w:instrText xml:space="preserve"> PAGE </w:instrText>
                    </w:r>
                    <w:r>
                      <w:rPr>
                        <w:rStyle w:val="40"/>
                      </w:rPr>
                      <w:fldChar w:fldCharType="separate"/>
                    </w:r>
                    <w:r>
                      <w:rPr>
                        <w:rStyle w:val="40"/>
                      </w:rPr>
                      <w:t>4</w:t>
                    </w:r>
                    <w:r>
                      <w:rPr>
                        <w:rStyle w:val="40"/>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5A0E2">
    <w:pPr>
      <w:pStyle w:val="71"/>
    </w:pPr>
    <w: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F4CA17">
                          <w:pPr>
                            <w:pStyle w:val="71"/>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0EF4CA17">
                    <w:pPr>
                      <w:pStyle w:val="71"/>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08FF7">
    <w:pPr>
      <w:pStyle w:val="72"/>
    </w:pPr>
    <w:r>
      <w:rPr>
        <w:rFonts w:hint="eastAsia"/>
      </w:rPr>
      <w:t>T</w:t>
    </w:r>
    <w:r>
      <w:t>/</w:t>
    </w:r>
    <w:r>
      <w:rPr>
        <w:rFonts w:hint="eastAsia"/>
      </w:rPr>
      <w:t>CNS</w:t>
    </w:r>
    <w:r>
      <w:t xml:space="preserve"> XXXX—</w:t>
    </w:r>
    <w:r>
      <w:rPr>
        <w:rFonts w:hint="eastAsia"/>
      </w:rPr>
      <w:t>202</w:t>
    </w:r>
    <w:r>
      <w:t>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1393B">
    <w:pPr>
      <w:pStyle w:val="47"/>
    </w:pPr>
    <w:r>
      <w:rPr>
        <w:rFonts w:hint="eastAsia"/>
      </w:rPr>
      <w:t>T</w:t>
    </w:r>
    <w:r>
      <w:t>/</w:t>
    </w:r>
    <w:r>
      <w:rPr>
        <w:rFonts w:hint="eastAsia"/>
      </w:rPr>
      <w:t>CNS</w:t>
    </w:r>
    <w:r>
      <w:t xml:space="preserve"> XXXX—</w:t>
    </w:r>
    <w:r>
      <w:rPr>
        <w:rFonts w:hint="eastAsia"/>
      </w:rPr>
      <w:t>202</w:t>
    </w:r>
    <w: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9"/>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24"/>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8"/>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5"/>
      <w:suff w:val="nothing"/>
      <w:lvlText w:val="%1.%2　"/>
      <w:lvlJc w:val="left"/>
      <w:pPr>
        <w:ind w:left="-28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9"/>
      <w:suff w:val="nothing"/>
      <w:lvlText w:val="%1.%2.%3　"/>
      <w:lvlJc w:val="left"/>
      <w:pPr>
        <w:ind w:left="-1417" w:firstLine="0"/>
      </w:pPr>
      <w:rPr>
        <w:rFonts w:hint="eastAsia" w:ascii="黑体" w:hAnsi="Times New Roman" w:eastAsia="黑体"/>
        <w:b w:val="0"/>
        <w:i w:val="0"/>
        <w:sz w:val="21"/>
      </w:rPr>
    </w:lvl>
    <w:lvl w:ilvl="3" w:tentative="0">
      <w:start w:val="1"/>
      <w:numFmt w:val="decimal"/>
      <w:pStyle w:val="54"/>
      <w:suff w:val="nothing"/>
      <w:lvlText w:val="%1.%2.%3.%4　"/>
      <w:lvlJc w:val="left"/>
      <w:pPr>
        <w:ind w:left="-1417" w:firstLine="0"/>
      </w:pPr>
      <w:rPr>
        <w:rFonts w:hint="eastAsia" w:ascii="黑体" w:hAnsi="Times New Roman" w:eastAsia="黑体"/>
        <w:b w:val="0"/>
        <w:i w:val="0"/>
        <w:sz w:val="21"/>
      </w:rPr>
    </w:lvl>
    <w:lvl w:ilvl="4" w:tentative="0">
      <w:start w:val="1"/>
      <w:numFmt w:val="decimal"/>
      <w:pStyle w:val="58"/>
      <w:suff w:val="nothing"/>
      <w:lvlText w:val="%1.%2.%3.%4.%5　"/>
      <w:lvlJc w:val="left"/>
      <w:pPr>
        <w:ind w:left="-1417" w:firstLine="0"/>
      </w:pPr>
      <w:rPr>
        <w:rFonts w:hint="eastAsia" w:ascii="黑体" w:hAnsi="Times New Roman" w:eastAsia="黑体"/>
        <w:b w:val="0"/>
        <w:i w:val="0"/>
        <w:sz w:val="21"/>
      </w:rPr>
    </w:lvl>
    <w:lvl w:ilvl="5" w:tentative="0">
      <w:start w:val="1"/>
      <w:numFmt w:val="decimal"/>
      <w:pStyle w:val="59"/>
      <w:suff w:val="nothing"/>
      <w:lvlText w:val="%1.%2.%3.%4.%5.%6　"/>
      <w:lvlJc w:val="left"/>
      <w:pPr>
        <w:ind w:left="-1417" w:firstLine="0"/>
      </w:pPr>
      <w:rPr>
        <w:rFonts w:hint="eastAsia" w:ascii="黑体" w:hAnsi="Times New Roman" w:eastAsia="黑体"/>
        <w:b w:val="0"/>
        <w:i w:val="0"/>
        <w:sz w:val="21"/>
      </w:rPr>
    </w:lvl>
    <w:lvl w:ilvl="6" w:tentative="0">
      <w:start w:val="1"/>
      <w:numFmt w:val="decimal"/>
      <w:suff w:val="nothing"/>
      <w:lvlText w:val="%1%2.%3.%4.%5.%6.%7　"/>
      <w:lvlJc w:val="left"/>
      <w:pPr>
        <w:ind w:left="-1417" w:firstLine="0"/>
      </w:pPr>
      <w:rPr>
        <w:rFonts w:hint="eastAsia" w:ascii="黑体" w:hAnsi="Times New Roman" w:eastAsia="黑体"/>
        <w:b w:val="0"/>
        <w:i w:val="0"/>
        <w:sz w:val="21"/>
      </w:rPr>
    </w:lvl>
    <w:lvl w:ilvl="7" w:tentative="0">
      <w:start w:val="1"/>
      <w:numFmt w:val="decimal"/>
      <w:lvlText w:val="%1.%2.%3.%4.%5.%6.%7.%8"/>
      <w:lvlJc w:val="left"/>
      <w:pPr>
        <w:tabs>
          <w:tab w:val="left" w:pos="2934"/>
        </w:tabs>
        <w:ind w:left="2552" w:hanging="1418"/>
      </w:pPr>
      <w:rPr>
        <w:rFonts w:hint="eastAsia"/>
      </w:rPr>
    </w:lvl>
    <w:lvl w:ilvl="8" w:tentative="0">
      <w:start w:val="1"/>
      <w:numFmt w:val="decimal"/>
      <w:lvlText w:val="%1.%2.%3.%4.%5.%6.%7.%8.%9"/>
      <w:lvlJc w:val="left"/>
      <w:pPr>
        <w:tabs>
          <w:tab w:val="left" w:pos="3360"/>
        </w:tabs>
        <w:ind w:left="3260" w:hanging="1700"/>
      </w:pPr>
      <w:rPr>
        <w:rFonts w:hint="eastAsia"/>
      </w:rPr>
    </w:lvl>
  </w:abstractNum>
  <w:abstractNum w:abstractNumId="6">
    <w:nsid w:val="2A8F7113"/>
    <w:multiLevelType w:val="multilevel"/>
    <w:tmpl w:val="2A8F7113"/>
    <w:lvl w:ilvl="0" w:tentative="0">
      <w:start w:val="1"/>
      <w:numFmt w:val="upperLetter"/>
      <w:pStyle w:val="101"/>
      <w:suff w:val="space"/>
      <w:lvlText w:val="%1"/>
      <w:lvlJc w:val="left"/>
      <w:pPr>
        <w:ind w:left="623" w:hanging="425"/>
      </w:pPr>
      <w:rPr>
        <w:rFonts w:hint="eastAsia"/>
      </w:rPr>
    </w:lvl>
    <w:lvl w:ilvl="1" w:tentative="0">
      <w:start w:val="1"/>
      <w:numFmt w:val="decimal"/>
      <w:pStyle w:val="10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51"/>
      <w:suff w:val="nothing"/>
      <w:lvlText w:val="%1——"/>
      <w:lvlJc w:val="left"/>
      <w:pPr>
        <w:ind w:left="833" w:hanging="408"/>
      </w:pPr>
      <w:rPr>
        <w:rFonts w:hint="eastAsia"/>
      </w:rPr>
    </w:lvl>
    <w:lvl w:ilvl="1" w:tentative="0">
      <w:start w:val="1"/>
      <w:numFmt w:val="bullet"/>
      <w:pStyle w:val="52"/>
      <w:lvlText w:val=""/>
      <w:lvlJc w:val="left"/>
      <w:pPr>
        <w:tabs>
          <w:tab w:val="left" w:pos="760"/>
        </w:tabs>
        <w:ind w:left="1264" w:hanging="413"/>
      </w:pPr>
      <w:rPr>
        <w:rFonts w:hint="default" w:ascii="Symbol" w:hAnsi="Symbol"/>
        <w:color w:val="auto"/>
      </w:rPr>
    </w:lvl>
    <w:lvl w:ilvl="2" w:tentative="0">
      <w:start w:val="1"/>
      <w:numFmt w:val="bullet"/>
      <w:pStyle w:val="6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6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7"/>
      <w:lvlText w:val="%2)"/>
      <w:lvlJc w:val="left"/>
      <w:pPr>
        <w:tabs>
          <w:tab w:val="left" w:pos="1260"/>
        </w:tabs>
        <w:ind w:left="1259" w:hanging="419"/>
      </w:pPr>
      <w:rPr>
        <w:rFonts w:hint="eastAsia"/>
      </w:rPr>
    </w:lvl>
    <w:lvl w:ilvl="2" w:tentative="0">
      <w:start w:val="1"/>
      <w:numFmt w:val="decimal"/>
      <w:pStyle w:val="6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65"/>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3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5E301392"/>
    <w:multiLevelType w:val="multilevel"/>
    <w:tmpl w:val="5E301392"/>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60B55DC2"/>
    <w:multiLevelType w:val="multilevel"/>
    <w:tmpl w:val="60B55DC2"/>
    <w:lvl w:ilvl="0" w:tentative="0">
      <w:start w:val="1"/>
      <w:numFmt w:val="upperLetter"/>
      <w:pStyle w:val="89"/>
      <w:lvlText w:val="%1"/>
      <w:lvlJc w:val="left"/>
      <w:pPr>
        <w:tabs>
          <w:tab w:val="left" w:pos="0"/>
        </w:tabs>
        <w:ind w:left="0" w:hanging="425"/>
      </w:pPr>
      <w:rPr>
        <w:rFonts w:hint="eastAsia"/>
      </w:rPr>
    </w:lvl>
    <w:lvl w:ilvl="1" w:tentative="0">
      <w:start w:val="1"/>
      <w:numFmt w:val="decimal"/>
      <w:pStyle w:val="9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3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8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6"/>
      <w:suff w:val="nothing"/>
      <w:lvlText w:val="%1.%2.%3　"/>
      <w:lvlJc w:val="left"/>
      <w:pPr>
        <w:ind w:left="0" w:firstLine="0"/>
      </w:pPr>
      <w:rPr>
        <w:rFonts w:hint="eastAsia" w:ascii="黑体" w:hAnsi="Times New Roman" w:eastAsia="黑体"/>
        <w:b w:val="0"/>
        <w:i w:val="0"/>
        <w:sz w:val="21"/>
      </w:rPr>
    </w:lvl>
    <w:lvl w:ilvl="3" w:tentative="0">
      <w:start w:val="1"/>
      <w:numFmt w:val="decimal"/>
      <w:pStyle w:val="91"/>
      <w:suff w:val="nothing"/>
      <w:lvlText w:val="%1.%2.%3.%4　"/>
      <w:lvlJc w:val="left"/>
      <w:pPr>
        <w:ind w:left="0" w:firstLine="0"/>
      </w:pPr>
      <w:rPr>
        <w:rFonts w:hint="eastAsia" w:ascii="黑体" w:hAnsi="Times New Roman" w:eastAsia="黑体"/>
        <w:b w:val="0"/>
        <w:i w:val="0"/>
        <w:sz w:val="21"/>
      </w:rPr>
    </w:lvl>
    <w:lvl w:ilvl="4" w:tentative="0">
      <w:start w:val="1"/>
      <w:numFmt w:val="decimal"/>
      <w:pStyle w:val="96"/>
      <w:suff w:val="nothing"/>
      <w:lvlText w:val="%1.%2.%3.%4.%5　"/>
      <w:lvlJc w:val="left"/>
      <w:pPr>
        <w:ind w:left="0" w:firstLine="0"/>
      </w:pPr>
      <w:rPr>
        <w:rFonts w:hint="eastAsia" w:ascii="黑体" w:hAnsi="Times New Roman" w:eastAsia="黑体"/>
        <w:b w:val="0"/>
        <w:i w:val="0"/>
        <w:sz w:val="21"/>
      </w:rPr>
    </w:lvl>
    <w:lvl w:ilvl="5" w:tentative="0">
      <w:start w:val="1"/>
      <w:numFmt w:val="decimal"/>
      <w:pStyle w:val="99"/>
      <w:suff w:val="nothing"/>
      <w:lvlText w:val="%1.%2.%3.%4.%5.%6　"/>
      <w:lvlJc w:val="left"/>
      <w:pPr>
        <w:ind w:left="0" w:firstLine="0"/>
      </w:pPr>
      <w:rPr>
        <w:rFonts w:hint="eastAsia" w:ascii="黑体" w:hAnsi="Times New Roman" w:eastAsia="黑体"/>
        <w:b w:val="0"/>
        <w:i w:val="0"/>
        <w:sz w:val="21"/>
      </w:rPr>
    </w:lvl>
    <w:lvl w:ilvl="6" w:tentative="0">
      <w:start w:val="1"/>
      <w:numFmt w:val="decimal"/>
      <w:pStyle w:val="10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08"/>
      <w:lvlText w:val="%1)"/>
      <w:lvlJc w:val="left"/>
      <w:pPr>
        <w:tabs>
          <w:tab w:val="left" w:pos="839"/>
        </w:tabs>
        <w:ind w:left="839" w:hanging="419"/>
      </w:pPr>
      <w:rPr>
        <w:rFonts w:hint="eastAsia" w:ascii="宋体" w:eastAsia="宋体"/>
        <w:b w:val="0"/>
        <w:i w:val="0"/>
        <w:sz w:val="21"/>
      </w:rPr>
    </w:lvl>
    <w:lvl w:ilvl="1" w:tentative="0">
      <w:start w:val="1"/>
      <w:numFmt w:val="decimal"/>
      <w:pStyle w:val="9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6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7"/>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3"/>
  </w:num>
  <w:num w:numId="16">
    <w:abstractNumId w:val="14"/>
  </w:num>
  <w:num w:numId="17">
    <w:abstractNumId w:val="1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068"/>
    <w:rsid w:val="0000170E"/>
    <w:rsid w:val="0000185F"/>
    <w:rsid w:val="00001E24"/>
    <w:rsid w:val="00002AA6"/>
    <w:rsid w:val="00003788"/>
    <w:rsid w:val="00003C64"/>
    <w:rsid w:val="000053F2"/>
    <w:rsid w:val="0000586F"/>
    <w:rsid w:val="00006F41"/>
    <w:rsid w:val="00007A76"/>
    <w:rsid w:val="00010755"/>
    <w:rsid w:val="0001212A"/>
    <w:rsid w:val="00012C82"/>
    <w:rsid w:val="000139BE"/>
    <w:rsid w:val="00013D86"/>
    <w:rsid w:val="00013E02"/>
    <w:rsid w:val="00013FCA"/>
    <w:rsid w:val="0001735E"/>
    <w:rsid w:val="0002143C"/>
    <w:rsid w:val="000234F7"/>
    <w:rsid w:val="00025A65"/>
    <w:rsid w:val="00026C31"/>
    <w:rsid w:val="00026D05"/>
    <w:rsid w:val="00027280"/>
    <w:rsid w:val="00027460"/>
    <w:rsid w:val="000307CA"/>
    <w:rsid w:val="00031C2F"/>
    <w:rsid w:val="000320A7"/>
    <w:rsid w:val="000326C6"/>
    <w:rsid w:val="00035925"/>
    <w:rsid w:val="00036AC3"/>
    <w:rsid w:val="00036AEF"/>
    <w:rsid w:val="000404BD"/>
    <w:rsid w:val="00040D19"/>
    <w:rsid w:val="000433A5"/>
    <w:rsid w:val="000436FC"/>
    <w:rsid w:val="00043CD1"/>
    <w:rsid w:val="00043DDB"/>
    <w:rsid w:val="00044248"/>
    <w:rsid w:val="00045C1C"/>
    <w:rsid w:val="00045EEE"/>
    <w:rsid w:val="000467AB"/>
    <w:rsid w:val="00046F92"/>
    <w:rsid w:val="00056328"/>
    <w:rsid w:val="00057EF0"/>
    <w:rsid w:val="00060954"/>
    <w:rsid w:val="00060B8D"/>
    <w:rsid w:val="00060E75"/>
    <w:rsid w:val="000615A4"/>
    <w:rsid w:val="000615A5"/>
    <w:rsid w:val="00062243"/>
    <w:rsid w:val="00062BC8"/>
    <w:rsid w:val="000634E0"/>
    <w:rsid w:val="00063D53"/>
    <w:rsid w:val="00063FAA"/>
    <w:rsid w:val="0006539D"/>
    <w:rsid w:val="00065644"/>
    <w:rsid w:val="000679CF"/>
    <w:rsid w:val="00067CDF"/>
    <w:rsid w:val="000724C8"/>
    <w:rsid w:val="00072630"/>
    <w:rsid w:val="00074FBE"/>
    <w:rsid w:val="00083A09"/>
    <w:rsid w:val="00084370"/>
    <w:rsid w:val="00087F24"/>
    <w:rsid w:val="0009005E"/>
    <w:rsid w:val="00090387"/>
    <w:rsid w:val="000909B6"/>
    <w:rsid w:val="00090C52"/>
    <w:rsid w:val="00092857"/>
    <w:rsid w:val="00094F7D"/>
    <w:rsid w:val="00095EBC"/>
    <w:rsid w:val="00096DBE"/>
    <w:rsid w:val="00097B60"/>
    <w:rsid w:val="000A0F8A"/>
    <w:rsid w:val="000A11A4"/>
    <w:rsid w:val="000A18F0"/>
    <w:rsid w:val="000A20A9"/>
    <w:rsid w:val="000A22AA"/>
    <w:rsid w:val="000A3E36"/>
    <w:rsid w:val="000A40E4"/>
    <w:rsid w:val="000A47FE"/>
    <w:rsid w:val="000A48B1"/>
    <w:rsid w:val="000A57C3"/>
    <w:rsid w:val="000B03C2"/>
    <w:rsid w:val="000B3143"/>
    <w:rsid w:val="000B5F51"/>
    <w:rsid w:val="000B62F6"/>
    <w:rsid w:val="000B6513"/>
    <w:rsid w:val="000B7497"/>
    <w:rsid w:val="000C3E60"/>
    <w:rsid w:val="000C3E65"/>
    <w:rsid w:val="000C6B05"/>
    <w:rsid w:val="000C6DD6"/>
    <w:rsid w:val="000C73D4"/>
    <w:rsid w:val="000C7763"/>
    <w:rsid w:val="000D231D"/>
    <w:rsid w:val="000D2D8B"/>
    <w:rsid w:val="000D3384"/>
    <w:rsid w:val="000D3D4C"/>
    <w:rsid w:val="000D4F51"/>
    <w:rsid w:val="000D6DB4"/>
    <w:rsid w:val="000D718B"/>
    <w:rsid w:val="000D7CE2"/>
    <w:rsid w:val="000E0C46"/>
    <w:rsid w:val="000E15A4"/>
    <w:rsid w:val="000E206A"/>
    <w:rsid w:val="000E254C"/>
    <w:rsid w:val="000E38D5"/>
    <w:rsid w:val="000E4AC0"/>
    <w:rsid w:val="000F030C"/>
    <w:rsid w:val="000F0677"/>
    <w:rsid w:val="000F129C"/>
    <w:rsid w:val="000F5877"/>
    <w:rsid w:val="000F6DC3"/>
    <w:rsid w:val="00100E1A"/>
    <w:rsid w:val="00102B3A"/>
    <w:rsid w:val="00103E6A"/>
    <w:rsid w:val="001050B8"/>
    <w:rsid w:val="001056DE"/>
    <w:rsid w:val="00105FC5"/>
    <w:rsid w:val="00107352"/>
    <w:rsid w:val="00107755"/>
    <w:rsid w:val="001112E2"/>
    <w:rsid w:val="001121E6"/>
    <w:rsid w:val="001124C0"/>
    <w:rsid w:val="00124246"/>
    <w:rsid w:val="00124FD9"/>
    <w:rsid w:val="00125566"/>
    <w:rsid w:val="00125C4D"/>
    <w:rsid w:val="00127D6A"/>
    <w:rsid w:val="0013175F"/>
    <w:rsid w:val="001337E4"/>
    <w:rsid w:val="001346AC"/>
    <w:rsid w:val="001351CE"/>
    <w:rsid w:val="00140205"/>
    <w:rsid w:val="001435C1"/>
    <w:rsid w:val="001457F3"/>
    <w:rsid w:val="00150975"/>
    <w:rsid w:val="001512B4"/>
    <w:rsid w:val="00152A78"/>
    <w:rsid w:val="001533FF"/>
    <w:rsid w:val="00153E7E"/>
    <w:rsid w:val="00154AA6"/>
    <w:rsid w:val="001557F5"/>
    <w:rsid w:val="00155AF8"/>
    <w:rsid w:val="00160473"/>
    <w:rsid w:val="00161C92"/>
    <w:rsid w:val="001620A5"/>
    <w:rsid w:val="00163EB8"/>
    <w:rsid w:val="00163F6A"/>
    <w:rsid w:val="00164E53"/>
    <w:rsid w:val="001650F7"/>
    <w:rsid w:val="0016699D"/>
    <w:rsid w:val="0017178D"/>
    <w:rsid w:val="00172650"/>
    <w:rsid w:val="00175159"/>
    <w:rsid w:val="001755E8"/>
    <w:rsid w:val="00175804"/>
    <w:rsid w:val="00176208"/>
    <w:rsid w:val="00177544"/>
    <w:rsid w:val="00177CA3"/>
    <w:rsid w:val="0018211B"/>
    <w:rsid w:val="00182CB9"/>
    <w:rsid w:val="001835E4"/>
    <w:rsid w:val="001840D3"/>
    <w:rsid w:val="0018573B"/>
    <w:rsid w:val="00185CB1"/>
    <w:rsid w:val="0018668A"/>
    <w:rsid w:val="00186756"/>
    <w:rsid w:val="00186C11"/>
    <w:rsid w:val="001900F8"/>
    <w:rsid w:val="001906A4"/>
    <w:rsid w:val="00191258"/>
    <w:rsid w:val="00192680"/>
    <w:rsid w:val="00192A65"/>
    <w:rsid w:val="00193037"/>
    <w:rsid w:val="00193195"/>
    <w:rsid w:val="00193268"/>
    <w:rsid w:val="00193A2C"/>
    <w:rsid w:val="001948D1"/>
    <w:rsid w:val="0019774B"/>
    <w:rsid w:val="001A022F"/>
    <w:rsid w:val="001A0A13"/>
    <w:rsid w:val="001A288E"/>
    <w:rsid w:val="001A67EE"/>
    <w:rsid w:val="001A6D07"/>
    <w:rsid w:val="001B03EC"/>
    <w:rsid w:val="001B1489"/>
    <w:rsid w:val="001B3DA1"/>
    <w:rsid w:val="001B59DE"/>
    <w:rsid w:val="001B6764"/>
    <w:rsid w:val="001B6DC2"/>
    <w:rsid w:val="001C149C"/>
    <w:rsid w:val="001C2056"/>
    <w:rsid w:val="001C21AC"/>
    <w:rsid w:val="001C3746"/>
    <w:rsid w:val="001C40DC"/>
    <w:rsid w:val="001C47BA"/>
    <w:rsid w:val="001C4EEE"/>
    <w:rsid w:val="001C59EA"/>
    <w:rsid w:val="001C5BE9"/>
    <w:rsid w:val="001C6A8E"/>
    <w:rsid w:val="001D00EE"/>
    <w:rsid w:val="001D2D13"/>
    <w:rsid w:val="001D406C"/>
    <w:rsid w:val="001D41EE"/>
    <w:rsid w:val="001D4513"/>
    <w:rsid w:val="001D5849"/>
    <w:rsid w:val="001D5FD6"/>
    <w:rsid w:val="001D6ED0"/>
    <w:rsid w:val="001D7899"/>
    <w:rsid w:val="001D7EF1"/>
    <w:rsid w:val="001E0380"/>
    <w:rsid w:val="001E0566"/>
    <w:rsid w:val="001E13B1"/>
    <w:rsid w:val="001E2C13"/>
    <w:rsid w:val="001E42CE"/>
    <w:rsid w:val="001E5599"/>
    <w:rsid w:val="001E618C"/>
    <w:rsid w:val="001E755D"/>
    <w:rsid w:val="001E794C"/>
    <w:rsid w:val="001F09D3"/>
    <w:rsid w:val="001F0FDF"/>
    <w:rsid w:val="001F16C3"/>
    <w:rsid w:val="001F21F8"/>
    <w:rsid w:val="001F3653"/>
    <w:rsid w:val="001F38AF"/>
    <w:rsid w:val="001F3A19"/>
    <w:rsid w:val="001F44A5"/>
    <w:rsid w:val="001F5889"/>
    <w:rsid w:val="001F6FBA"/>
    <w:rsid w:val="00200547"/>
    <w:rsid w:val="002027A9"/>
    <w:rsid w:val="00202F34"/>
    <w:rsid w:val="00203023"/>
    <w:rsid w:val="00203EAA"/>
    <w:rsid w:val="0020428B"/>
    <w:rsid w:val="00204944"/>
    <w:rsid w:val="00205C8A"/>
    <w:rsid w:val="0020623B"/>
    <w:rsid w:val="00206792"/>
    <w:rsid w:val="0020745D"/>
    <w:rsid w:val="002074A7"/>
    <w:rsid w:val="00207EEC"/>
    <w:rsid w:val="00211A3A"/>
    <w:rsid w:val="00213508"/>
    <w:rsid w:val="002148D1"/>
    <w:rsid w:val="00215DEA"/>
    <w:rsid w:val="0021611A"/>
    <w:rsid w:val="002167B9"/>
    <w:rsid w:val="00217BA7"/>
    <w:rsid w:val="0022090A"/>
    <w:rsid w:val="00221B5D"/>
    <w:rsid w:val="002239F7"/>
    <w:rsid w:val="002277DD"/>
    <w:rsid w:val="00227958"/>
    <w:rsid w:val="00232386"/>
    <w:rsid w:val="00232BF5"/>
    <w:rsid w:val="00234467"/>
    <w:rsid w:val="00237D8D"/>
    <w:rsid w:val="00237ED4"/>
    <w:rsid w:val="00237FEC"/>
    <w:rsid w:val="00241DA2"/>
    <w:rsid w:val="00242A64"/>
    <w:rsid w:val="0024301D"/>
    <w:rsid w:val="002433FD"/>
    <w:rsid w:val="00245B04"/>
    <w:rsid w:val="00247123"/>
    <w:rsid w:val="00247FEE"/>
    <w:rsid w:val="002500B4"/>
    <w:rsid w:val="002504A9"/>
    <w:rsid w:val="00250E7D"/>
    <w:rsid w:val="002515B9"/>
    <w:rsid w:val="00251EB6"/>
    <w:rsid w:val="00252124"/>
    <w:rsid w:val="00255EA9"/>
    <w:rsid w:val="00255FBF"/>
    <w:rsid w:val="002565D5"/>
    <w:rsid w:val="0025661C"/>
    <w:rsid w:val="00261A44"/>
    <w:rsid w:val="00261D64"/>
    <w:rsid w:val="002622C0"/>
    <w:rsid w:val="00263C64"/>
    <w:rsid w:val="002659B5"/>
    <w:rsid w:val="00265C20"/>
    <w:rsid w:val="00265D6A"/>
    <w:rsid w:val="00272362"/>
    <w:rsid w:val="00277245"/>
    <w:rsid w:val="002778AE"/>
    <w:rsid w:val="00277FA8"/>
    <w:rsid w:val="00281FC4"/>
    <w:rsid w:val="00282202"/>
    <w:rsid w:val="0028269A"/>
    <w:rsid w:val="00283590"/>
    <w:rsid w:val="00285507"/>
    <w:rsid w:val="00286973"/>
    <w:rsid w:val="00290A7C"/>
    <w:rsid w:val="00290BE9"/>
    <w:rsid w:val="00292203"/>
    <w:rsid w:val="00293CDD"/>
    <w:rsid w:val="00293E1A"/>
    <w:rsid w:val="00294AA2"/>
    <w:rsid w:val="00294E70"/>
    <w:rsid w:val="00295D13"/>
    <w:rsid w:val="002A10C1"/>
    <w:rsid w:val="002A1924"/>
    <w:rsid w:val="002A3544"/>
    <w:rsid w:val="002A38F4"/>
    <w:rsid w:val="002A416B"/>
    <w:rsid w:val="002A570F"/>
    <w:rsid w:val="002A7420"/>
    <w:rsid w:val="002A7AA5"/>
    <w:rsid w:val="002B0F12"/>
    <w:rsid w:val="002B1308"/>
    <w:rsid w:val="002B1903"/>
    <w:rsid w:val="002B1A2A"/>
    <w:rsid w:val="002B1E28"/>
    <w:rsid w:val="002B1E34"/>
    <w:rsid w:val="002B20B8"/>
    <w:rsid w:val="002B2879"/>
    <w:rsid w:val="002B4554"/>
    <w:rsid w:val="002C0129"/>
    <w:rsid w:val="002C1F74"/>
    <w:rsid w:val="002C3573"/>
    <w:rsid w:val="002C3773"/>
    <w:rsid w:val="002C3FE1"/>
    <w:rsid w:val="002C419C"/>
    <w:rsid w:val="002C4EE1"/>
    <w:rsid w:val="002C72D8"/>
    <w:rsid w:val="002D11FA"/>
    <w:rsid w:val="002D25CB"/>
    <w:rsid w:val="002D26FA"/>
    <w:rsid w:val="002D27B8"/>
    <w:rsid w:val="002D3228"/>
    <w:rsid w:val="002D3F4C"/>
    <w:rsid w:val="002D4B8E"/>
    <w:rsid w:val="002D74CE"/>
    <w:rsid w:val="002D7B5C"/>
    <w:rsid w:val="002D7D14"/>
    <w:rsid w:val="002E0DDF"/>
    <w:rsid w:val="002E1DF3"/>
    <w:rsid w:val="002E2906"/>
    <w:rsid w:val="002E5250"/>
    <w:rsid w:val="002E5635"/>
    <w:rsid w:val="002E64C3"/>
    <w:rsid w:val="002E6A2C"/>
    <w:rsid w:val="002E6A87"/>
    <w:rsid w:val="002E6F2B"/>
    <w:rsid w:val="002E7B35"/>
    <w:rsid w:val="002F16F4"/>
    <w:rsid w:val="002F1D8C"/>
    <w:rsid w:val="002F21DA"/>
    <w:rsid w:val="002F4064"/>
    <w:rsid w:val="002F5DA0"/>
    <w:rsid w:val="003017C2"/>
    <w:rsid w:val="00301F39"/>
    <w:rsid w:val="00303E4F"/>
    <w:rsid w:val="00307139"/>
    <w:rsid w:val="003078BB"/>
    <w:rsid w:val="003129C4"/>
    <w:rsid w:val="00313326"/>
    <w:rsid w:val="00313C85"/>
    <w:rsid w:val="00316CB7"/>
    <w:rsid w:val="003178E6"/>
    <w:rsid w:val="00320A15"/>
    <w:rsid w:val="0032422A"/>
    <w:rsid w:val="00324487"/>
    <w:rsid w:val="00325926"/>
    <w:rsid w:val="00326619"/>
    <w:rsid w:val="0032699A"/>
    <w:rsid w:val="00326A71"/>
    <w:rsid w:val="00327A8A"/>
    <w:rsid w:val="003331B1"/>
    <w:rsid w:val="00335695"/>
    <w:rsid w:val="00336610"/>
    <w:rsid w:val="00336E5A"/>
    <w:rsid w:val="00337206"/>
    <w:rsid w:val="00337E32"/>
    <w:rsid w:val="0034042D"/>
    <w:rsid w:val="003408E7"/>
    <w:rsid w:val="00343F73"/>
    <w:rsid w:val="00344444"/>
    <w:rsid w:val="00345060"/>
    <w:rsid w:val="00345A46"/>
    <w:rsid w:val="00345C75"/>
    <w:rsid w:val="0034606E"/>
    <w:rsid w:val="0035268D"/>
    <w:rsid w:val="0035323B"/>
    <w:rsid w:val="00353B1F"/>
    <w:rsid w:val="0035550B"/>
    <w:rsid w:val="003571D2"/>
    <w:rsid w:val="003609D2"/>
    <w:rsid w:val="00363F22"/>
    <w:rsid w:val="00363F9D"/>
    <w:rsid w:val="00364BC9"/>
    <w:rsid w:val="00365AD6"/>
    <w:rsid w:val="00366046"/>
    <w:rsid w:val="00366C12"/>
    <w:rsid w:val="00367F2A"/>
    <w:rsid w:val="00371DB1"/>
    <w:rsid w:val="003720CD"/>
    <w:rsid w:val="00373BED"/>
    <w:rsid w:val="0037409B"/>
    <w:rsid w:val="00374580"/>
    <w:rsid w:val="00375496"/>
    <w:rsid w:val="00375564"/>
    <w:rsid w:val="00377172"/>
    <w:rsid w:val="00377937"/>
    <w:rsid w:val="00377F97"/>
    <w:rsid w:val="003810BA"/>
    <w:rsid w:val="0038264E"/>
    <w:rsid w:val="00383191"/>
    <w:rsid w:val="00384DB2"/>
    <w:rsid w:val="00385167"/>
    <w:rsid w:val="00386DED"/>
    <w:rsid w:val="00386F82"/>
    <w:rsid w:val="003912E7"/>
    <w:rsid w:val="00391A30"/>
    <w:rsid w:val="00391A35"/>
    <w:rsid w:val="003921C1"/>
    <w:rsid w:val="00392F72"/>
    <w:rsid w:val="003934AB"/>
    <w:rsid w:val="00393947"/>
    <w:rsid w:val="00393DCA"/>
    <w:rsid w:val="003A0A28"/>
    <w:rsid w:val="003A15AD"/>
    <w:rsid w:val="003A2275"/>
    <w:rsid w:val="003A5BB6"/>
    <w:rsid w:val="003A6778"/>
    <w:rsid w:val="003A6A4F"/>
    <w:rsid w:val="003A6A9F"/>
    <w:rsid w:val="003A6E20"/>
    <w:rsid w:val="003A6E63"/>
    <w:rsid w:val="003A7088"/>
    <w:rsid w:val="003A7860"/>
    <w:rsid w:val="003B00DF"/>
    <w:rsid w:val="003B08F1"/>
    <w:rsid w:val="003B1275"/>
    <w:rsid w:val="003B1778"/>
    <w:rsid w:val="003B25A6"/>
    <w:rsid w:val="003B25B3"/>
    <w:rsid w:val="003B4D4B"/>
    <w:rsid w:val="003B5ECB"/>
    <w:rsid w:val="003C0303"/>
    <w:rsid w:val="003C0E3F"/>
    <w:rsid w:val="003C11CB"/>
    <w:rsid w:val="003C1584"/>
    <w:rsid w:val="003C1A74"/>
    <w:rsid w:val="003C2142"/>
    <w:rsid w:val="003C75F3"/>
    <w:rsid w:val="003C78A3"/>
    <w:rsid w:val="003C7920"/>
    <w:rsid w:val="003D0319"/>
    <w:rsid w:val="003D3024"/>
    <w:rsid w:val="003D3114"/>
    <w:rsid w:val="003D5916"/>
    <w:rsid w:val="003D5BC7"/>
    <w:rsid w:val="003D67E5"/>
    <w:rsid w:val="003D6F51"/>
    <w:rsid w:val="003E151E"/>
    <w:rsid w:val="003E1867"/>
    <w:rsid w:val="003E1BA4"/>
    <w:rsid w:val="003E4DF3"/>
    <w:rsid w:val="003E5729"/>
    <w:rsid w:val="003E6635"/>
    <w:rsid w:val="003F14A8"/>
    <w:rsid w:val="003F3FCF"/>
    <w:rsid w:val="003F4349"/>
    <w:rsid w:val="003F476D"/>
    <w:rsid w:val="003F4EE0"/>
    <w:rsid w:val="003F6307"/>
    <w:rsid w:val="00400F2E"/>
    <w:rsid w:val="00401642"/>
    <w:rsid w:val="00401A2F"/>
    <w:rsid w:val="00402153"/>
    <w:rsid w:val="00402FC1"/>
    <w:rsid w:val="00403C93"/>
    <w:rsid w:val="00403E32"/>
    <w:rsid w:val="00405491"/>
    <w:rsid w:val="00405D77"/>
    <w:rsid w:val="0040661A"/>
    <w:rsid w:val="00407845"/>
    <w:rsid w:val="004116C7"/>
    <w:rsid w:val="00413E34"/>
    <w:rsid w:val="00415BBA"/>
    <w:rsid w:val="00415E21"/>
    <w:rsid w:val="00416D06"/>
    <w:rsid w:val="00417906"/>
    <w:rsid w:val="00421D17"/>
    <w:rsid w:val="0042260B"/>
    <w:rsid w:val="00422A36"/>
    <w:rsid w:val="00423F43"/>
    <w:rsid w:val="00424235"/>
    <w:rsid w:val="00425082"/>
    <w:rsid w:val="004266C7"/>
    <w:rsid w:val="00427A2E"/>
    <w:rsid w:val="00430240"/>
    <w:rsid w:val="004312C8"/>
    <w:rsid w:val="00431609"/>
    <w:rsid w:val="004317E2"/>
    <w:rsid w:val="00431DEB"/>
    <w:rsid w:val="0043373D"/>
    <w:rsid w:val="00433856"/>
    <w:rsid w:val="00433D49"/>
    <w:rsid w:val="004341C1"/>
    <w:rsid w:val="00434F36"/>
    <w:rsid w:val="00436787"/>
    <w:rsid w:val="00442748"/>
    <w:rsid w:val="00443DF5"/>
    <w:rsid w:val="004442F1"/>
    <w:rsid w:val="004464FB"/>
    <w:rsid w:val="00446B29"/>
    <w:rsid w:val="00451513"/>
    <w:rsid w:val="00453F9A"/>
    <w:rsid w:val="004552AC"/>
    <w:rsid w:val="00455698"/>
    <w:rsid w:val="004562E4"/>
    <w:rsid w:val="004602A5"/>
    <w:rsid w:val="004625A4"/>
    <w:rsid w:val="00463131"/>
    <w:rsid w:val="004633EA"/>
    <w:rsid w:val="00463481"/>
    <w:rsid w:val="00464712"/>
    <w:rsid w:val="00465870"/>
    <w:rsid w:val="00466066"/>
    <w:rsid w:val="004678FC"/>
    <w:rsid w:val="00470519"/>
    <w:rsid w:val="0047080C"/>
    <w:rsid w:val="00471E91"/>
    <w:rsid w:val="00473407"/>
    <w:rsid w:val="00473692"/>
    <w:rsid w:val="00474675"/>
    <w:rsid w:val="0047470C"/>
    <w:rsid w:val="0047499E"/>
    <w:rsid w:val="004754E1"/>
    <w:rsid w:val="0047579F"/>
    <w:rsid w:val="00475903"/>
    <w:rsid w:val="00475F36"/>
    <w:rsid w:val="00476069"/>
    <w:rsid w:val="00476113"/>
    <w:rsid w:val="0047640A"/>
    <w:rsid w:val="00476915"/>
    <w:rsid w:val="004777F8"/>
    <w:rsid w:val="00480489"/>
    <w:rsid w:val="004807CD"/>
    <w:rsid w:val="00485B2A"/>
    <w:rsid w:val="00492306"/>
    <w:rsid w:val="00492952"/>
    <w:rsid w:val="004930F0"/>
    <w:rsid w:val="004933F5"/>
    <w:rsid w:val="00494020"/>
    <w:rsid w:val="00494391"/>
    <w:rsid w:val="00495138"/>
    <w:rsid w:val="00496542"/>
    <w:rsid w:val="004A03F8"/>
    <w:rsid w:val="004A1F5F"/>
    <w:rsid w:val="004A35F9"/>
    <w:rsid w:val="004A439D"/>
    <w:rsid w:val="004A7E99"/>
    <w:rsid w:val="004B24C1"/>
    <w:rsid w:val="004B2AE2"/>
    <w:rsid w:val="004B488E"/>
    <w:rsid w:val="004B5ABA"/>
    <w:rsid w:val="004B736E"/>
    <w:rsid w:val="004C0271"/>
    <w:rsid w:val="004C292F"/>
    <w:rsid w:val="004C5151"/>
    <w:rsid w:val="004C519D"/>
    <w:rsid w:val="004C6BA4"/>
    <w:rsid w:val="004C7EE2"/>
    <w:rsid w:val="004D070E"/>
    <w:rsid w:val="004D1BFC"/>
    <w:rsid w:val="004D253C"/>
    <w:rsid w:val="004D31E0"/>
    <w:rsid w:val="004D353B"/>
    <w:rsid w:val="004D468D"/>
    <w:rsid w:val="004D4F91"/>
    <w:rsid w:val="004D5772"/>
    <w:rsid w:val="004D6309"/>
    <w:rsid w:val="004D796E"/>
    <w:rsid w:val="004D7E42"/>
    <w:rsid w:val="004E0D70"/>
    <w:rsid w:val="004E0F8C"/>
    <w:rsid w:val="004E2B58"/>
    <w:rsid w:val="004E2B95"/>
    <w:rsid w:val="004E3101"/>
    <w:rsid w:val="004E375E"/>
    <w:rsid w:val="004E5E50"/>
    <w:rsid w:val="004E600A"/>
    <w:rsid w:val="004E6AE5"/>
    <w:rsid w:val="004E6EB8"/>
    <w:rsid w:val="004E6F67"/>
    <w:rsid w:val="004F12E5"/>
    <w:rsid w:val="004F28B6"/>
    <w:rsid w:val="004F4274"/>
    <w:rsid w:val="00500BCE"/>
    <w:rsid w:val="00501447"/>
    <w:rsid w:val="00501508"/>
    <w:rsid w:val="005020E6"/>
    <w:rsid w:val="00503826"/>
    <w:rsid w:val="00507F02"/>
    <w:rsid w:val="00510280"/>
    <w:rsid w:val="00510638"/>
    <w:rsid w:val="0051196F"/>
    <w:rsid w:val="0051233A"/>
    <w:rsid w:val="00513D73"/>
    <w:rsid w:val="00513FD9"/>
    <w:rsid w:val="00514648"/>
    <w:rsid w:val="00514A43"/>
    <w:rsid w:val="00514B08"/>
    <w:rsid w:val="00514B4A"/>
    <w:rsid w:val="005174E5"/>
    <w:rsid w:val="00521E50"/>
    <w:rsid w:val="00522393"/>
    <w:rsid w:val="00522620"/>
    <w:rsid w:val="00524D3A"/>
    <w:rsid w:val="00525656"/>
    <w:rsid w:val="00526BD1"/>
    <w:rsid w:val="0052769C"/>
    <w:rsid w:val="005320DB"/>
    <w:rsid w:val="00532BB8"/>
    <w:rsid w:val="00533BEE"/>
    <w:rsid w:val="00534A30"/>
    <w:rsid w:val="00534C02"/>
    <w:rsid w:val="005355AE"/>
    <w:rsid w:val="005364CD"/>
    <w:rsid w:val="00536BBD"/>
    <w:rsid w:val="005416D2"/>
    <w:rsid w:val="00542193"/>
    <w:rsid w:val="0054264B"/>
    <w:rsid w:val="00542E2A"/>
    <w:rsid w:val="00543786"/>
    <w:rsid w:val="005442E6"/>
    <w:rsid w:val="00547F55"/>
    <w:rsid w:val="005514FA"/>
    <w:rsid w:val="00552545"/>
    <w:rsid w:val="00552FDA"/>
    <w:rsid w:val="005533D7"/>
    <w:rsid w:val="00554CD0"/>
    <w:rsid w:val="005556EE"/>
    <w:rsid w:val="005559D0"/>
    <w:rsid w:val="00555DAC"/>
    <w:rsid w:val="0056287E"/>
    <w:rsid w:val="00563EAD"/>
    <w:rsid w:val="0056681D"/>
    <w:rsid w:val="005703DE"/>
    <w:rsid w:val="00571AD5"/>
    <w:rsid w:val="0057407F"/>
    <w:rsid w:val="00574A5B"/>
    <w:rsid w:val="0057527C"/>
    <w:rsid w:val="0057751B"/>
    <w:rsid w:val="00582CD1"/>
    <w:rsid w:val="0058464E"/>
    <w:rsid w:val="0058570A"/>
    <w:rsid w:val="00585824"/>
    <w:rsid w:val="005858E7"/>
    <w:rsid w:val="005872DD"/>
    <w:rsid w:val="00587FE6"/>
    <w:rsid w:val="005902E4"/>
    <w:rsid w:val="0059076F"/>
    <w:rsid w:val="00593A1A"/>
    <w:rsid w:val="00594059"/>
    <w:rsid w:val="005949A4"/>
    <w:rsid w:val="00595337"/>
    <w:rsid w:val="00595435"/>
    <w:rsid w:val="00595D06"/>
    <w:rsid w:val="005971CA"/>
    <w:rsid w:val="005975BE"/>
    <w:rsid w:val="005A01CB"/>
    <w:rsid w:val="005A0281"/>
    <w:rsid w:val="005A0385"/>
    <w:rsid w:val="005A0B2E"/>
    <w:rsid w:val="005A0D75"/>
    <w:rsid w:val="005A1E47"/>
    <w:rsid w:val="005A28C7"/>
    <w:rsid w:val="005A58FF"/>
    <w:rsid w:val="005A596F"/>
    <w:rsid w:val="005A5EAF"/>
    <w:rsid w:val="005A64C0"/>
    <w:rsid w:val="005A7455"/>
    <w:rsid w:val="005B3C11"/>
    <w:rsid w:val="005B4703"/>
    <w:rsid w:val="005B495E"/>
    <w:rsid w:val="005B5871"/>
    <w:rsid w:val="005B6487"/>
    <w:rsid w:val="005B70C5"/>
    <w:rsid w:val="005B71AA"/>
    <w:rsid w:val="005B7489"/>
    <w:rsid w:val="005C1B04"/>
    <w:rsid w:val="005C1C28"/>
    <w:rsid w:val="005C4050"/>
    <w:rsid w:val="005C6131"/>
    <w:rsid w:val="005C6DB5"/>
    <w:rsid w:val="005D0051"/>
    <w:rsid w:val="005D0325"/>
    <w:rsid w:val="005D0ADA"/>
    <w:rsid w:val="005D78BE"/>
    <w:rsid w:val="005D7CEF"/>
    <w:rsid w:val="005E09DC"/>
    <w:rsid w:val="005E0C04"/>
    <w:rsid w:val="005E19E7"/>
    <w:rsid w:val="005E29B7"/>
    <w:rsid w:val="005E49E9"/>
    <w:rsid w:val="005E4CF3"/>
    <w:rsid w:val="005E5A4F"/>
    <w:rsid w:val="005F057C"/>
    <w:rsid w:val="005F2064"/>
    <w:rsid w:val="005F2756"/>
    <w:rsid w:val="005F6CF1"/>
    <w:rsid w:val="00600CF6"/>
    <w:rsid w:val="0060131F"/>
    <w:rsid w:val="006022B1"/>
    <w:rsid w:val="00603844"/>
    <w:rsid w:val="00603A32"/>
    <w:rsid w:val="00604532"/>
    <w:rsid w:val="0061092C"/>
    <w:rsid w:val="00610E26"/>
    <w:rsid w:val="006133AA"/>
    <w:rsid w:val="0061716C"/>
    <w:rsid w:val="0062409A"/>
    <w:rsid w:val="0062417F"/>
    <w:rsid w:val="006243A1"/>
    <w:rsid w:val="00625090"/>
    <w:rsid w:val="0062693C"/>
    <w:rsid w:val="00626D36"/>
    <w:rsid w:val="00627B96"/>
    <w:rsid w:val="00627E7A"/>
    <w:rsid w:val="0063101D"/>
    <w:rsid w:val="0063234A"/>
    <w:rsid w:val="00632E56"/>
    <w:rsid w:val="0063392C"/>
    <w:rsid w:val="00633F6D"/>
    <w:rsid w:val="00634DC3"/>
    <w:rsid w:val="00635482"/>
    <w:rsid w:val="00635A0D"/>
    <w:rsid w:val="00635CBA"/>
    <w:rsid w:val="006361E7"/>
    <w:rsid w:val="00641787"/>
    <w:rsid w:val="0064338B"/>
    <w:rsid w:val="00643A30"/>
    <w:rsid w:val="00643B01"/>
    <w:rsid w:val="006460DF"/>
    <w:rsid w:val="00646542"/>
    <w:rsid w:val="00646B0C"/>
    <w:rsid w:val="006504F4"/>
    <w:rsid w:val="00653423"/>
    <w:rsid w:val="00654302"/>
    <w:rsid w:val="00654BC9"/>
    <w:rsid w:val="006552FD"/>
    <w:rsid w:val="00656331"/>
    <w:rsid w:val="006600F5"/>
    <w:rsid w:val="0066045E"/>
    <w:rsid w:val="0066129B"/>
    <w:rsid w:val="00663AF3"/>
    <w:rsid w:val="006651DB"/>
    <w:rsid w:val="00665609"/>
    <w:rsid w:val="00665D5B"/>
    <w:rsid w:val="00666B6C"/>
    <w:rsid w:val="0067083B"/>
    <w:rsid w:val="006766E8"/>
    <w:rsid w:val="00676A63"/>
    <w:rsid w:val="00676A64"/>
    <w:rsid w:val="006806A6"/>
    <w:rsid w:val="00681DB4"/>
    <w:rsid w:val="00681F63"/>
    <w:rsid w:val="00682682"/>
    <w:rsid w:val="00682702"/>
    <w:rsid w:val="00683B86"/>
    <w:rsid w:val="0068521C"/>
    <w:rsid w:val="006854FF"/>
    <w:rsid w:val="006862BF"/>
    <w:rsid w:val="00690008"/>
    <w:rsid w:val="00690946"/>
    <w:rsid w:val="00690F6B"/>
    <w:rsid w:val="00692368"/>
    <w:rsid w:val="00694A34"/>
    <w:rsid w:val="00694CE1"/>
    <w:rsid w:val="00695872"/>
    <w:rsid w:val="00695CCF"/>
    <w:rsid w:val="00697DF9"/>
    <w:rsid w:val="006A2EBC"/>
    <w:rsid w:val="006A5EA0"/>
    <w:rsid w:val="006A6128"/>
    <w:rsid w:val="006A646B"/>
    <w:rsid w:val="006A6B4F"/>
    <w:rsid w:val="006A6EBB"/>
    <w:rsid w:val="006A7103"/>
    <w:rsid w:val="006A783B"/>
    <w:rsid w:val="006A7B33"/>
    <w:rsid w:val="006B1121"/>
    <w:rsid w:val="006B3701"/>
    <w:rsid w:val="006B3945"/>
    <w:rsid w:val="006B4D65"/>
    <w:rsid w:val="006B4E13"/>
    <w:rsid w:val="006B5380"/>
    <w:rsid w:val="006B6AD5"/>
    <w:rsid w:val="006B75DD"/>
    <w:rsid w:val="006C3D8D"/>
    <w:rsid w:val="006C3E69"/>
    <w:rsid w:val="006C44C9"/>
    <w:rsid w:val="006C67E0"/>
    <w:rsid w:val="006C6813"/>
    <w:rsid w:val="006C6C29"/>
    <w:rsid w:val="006C6DA4"/>
    <w:rsid w:val="006C7ABA"/>
    <w:rsid w:val="006D05ED"/>
    <w:rsid w:val="006D0D60"/>
    <w:rsid w:val="006D1122"/>
    <w:rsid w:val="006D1681"/>
    <w:rsid w:val="006D1A82"/>
    <w:rsid w:val="006D27B1"/>
    <w:rsid w:val="006D3C00"/>
    <w:rsid w:val="006E0564"/>
    <w:rsid w:val="006E154B"/>
    <w:rsid w:val="006E1DB8"/>
    <w:rsid w:val="006E3675"/>
    <w:rsid w:val="006E3722"/>
    <w:rsid w:val="006E4A7F"/>
    <w:rsid w:val="006F0725"/>
    <w:rsid w:val="006F0E76"/>
    <w:rsid w:val="006F1D0A"/>
    <w:rsid w:val="006F431A"/>
    <w:rsid w:val="006F472A"/>
    <w:rsid w:val="006F5F53"/>
    <w:rsid w:val="006F79D1"/>
    <w:rsid w:val="00700549"/>
    <w:rsid w:val="00702B4F"/>
    <w:rsid w:val="0070449C"/>
    <w:rsid w:val="00704DF6"/>
    <w:rsid w:val="0070651C"/>
    <w:rsid w:val="0070669E"/>
    <w:rsid w:val="00707ECA"/>
    <w:rsid w:val="007132A3"/>
    <w:rsid w:val="00716421"/>
    <w:rsid w:val="0071707B"/>
    <w:rsid w:val="007212CB"/>
    <w:rsid w:val="0072267A"/>
    <w:rsid w:val="00722A6D"/>
    <w:rsid w:val="007230C0"/>
    <w:rsid w:val="007238A6"/>
    <w:rsid w:val="00723A69"/>
    <w:rsid w:val="00723E5C"/>
    <w:rsid w:val="00724EFB"/>
    <w:rsid w:val="0072564C"/>
    <w:rsid w:val="00726407"/>
    <w:rsid w:val="007277B2"/>
    <w:rsid w:val="007301D1"/>
    <w:rsid w:val="00730C84"/>
    <w:rsid w:val="007318AF"/>
    <w:rsid w:val="007336A4"/>
    <w:rsid w:val="00734847"/>
    <w:rsid w:val="00735A20"/>
    <w:rsid w:val="00735E3C"/>
    <w:rsid w:val="00737209"/>
    <w:rsid w:val="007378BE"/>
    <w:rsid w:val="007378D2"/>
    <w:rsid w:val="00740742"/>
    <w:rsid w:val="007419C3"/>
    <w:rsid w:val="00741E00"/>
    <w:rsid w:val="0074487B"/>
    <w:rsid w:val="00745AEE"/>
    <w:rsid w:val="007467A7"/>
    <w:rsid w:val="007469DD"/>
    <w:rsid w:val="0074741B"/>
    <w:rsid w:val="0074759E"/>
    <w:rsid w:val="007478EA"/>
    <w:rsid w:val="00751176"/>
    <w:rsid w:val="00753C87"/>
    <w:rsid w:val="0075415C"/>
    <w:rsid w:val="00754EE6"/>
    <w:rsid w:val="007557F9"/>
    <w:rsid w:val="007569D8"/>
    <w:rsid w:val="007574CB"/>
    <w:rsid w:val="00763400"/>
    <w:rsid w:val="00763502"/>
    <w:rsid w:val="00763D6A"/>
    <w:rsid w:val="00765429"/>
    <w:rsid w:val="007657A7"/>
    <w:rsid w:val="00765F61"/>
    <w:rsid w:val="0077044E"/>
    <w:rsid w:val="00770883"/>
    <w:rsid w:val="0077117D"/>
    <w:rsid w:val="00776276"/>
    <w:rsid w:val="00777B87"/>
    <w:rsid w:val="00777D25"/>
    <w:rsid w:val="00780326"/>
    <w:rsid w:val="00780D8B"/>
    <w:rsid w:val="007813CE"/>
    <w:rsid w:val="007827E1"/>
    <w:rsid w:val="00782FD0"/>
    <w:rsid w:val="007831A7"/>
    <w:rsid w:val="007857F7"/>
    <w:rsid w:val="0078745B"/>
    <w:rsid w:val="00790520"/>
    <w:rsid w:val="007913AB"/>
    <w:rsid w:val="007914F7"/>
    <w:rsid w:val="00792F5C"/>
    <w:rsid w:val="00793EF0"/>
    <w:rsid w:val="0079428E"/>
    <w:rsid w:val="007946B2"/>
    <w:rsid w:val="007950A6"/>
    <w:rsid w:val="007A29FF"/>
    <w:rsid w:val="007A5246"/>
    <w:rsid w:val="007A7D3E"/>
    <w:rsid w:val="007B0B61"/>
    <w:rsid w:val="007B0B89"/>
    <w:rsid w:val="007B1625"/>
    <w:rsid w:val="007B1F8F"/>
    <w:rsid w:val="007B236F"/>
    <w:rsid w:val="007B5C6A"/>
    <w:rsid w:val="007B706E"/>
    <w:rsid w:val="007B71EB"/>
    <w:rsid w:val="007C027B"/>
    <w:rsid w:val="007C0924"/>
    <w:rsid w:val="007C14C6"/>
    <w:rsid w:val="007C476F"/>
    <w:rsid w:val="007C4DA2"/>
    <w:rsid w:val="007C5186"/>
    <w:rsid w:val="007C5304"/>
    <w:rsid w:val="007C53D4"/>
    <w:rsid w:val="007C5E44"/>
    <w:rsid w:val="007C6205"/>
    <w:rsid w:val="007C686A"/>
    <w:rsid w:val="007C728E"/>
    <w:rsid w:val="007C77C1"/>
    <w:rsid w:val="007C7948"/>
    <w:rsid w:val="007D2C53"/>
    <w:rsid w:val="007D3D60"/>
    <w:rsid w:val="007E1980"/>
    <w:rsid w:val="007E19BC"/>
    <w:rsid w:val="007E220A"/>
    <w:rsid w:val="007E23ED"/>
    <w:rsid w:val="007E3E4B"/>
    <w:rsid w:val="007E4342"/>
    <w:rsid w:val="007E4B76"/>
    <w:rsid w:val="007E5998"/>
    <w:rsid w:val="007E5EA8"/>
    <w:rsid w:val="007E60B6"/>
    <w:rsid w:val="007F0CF1"/>
    <w:rsid w:val="007F12A5"/>
    <w:rsid w:val="007F1641"/>
    <w:rsid w:val="007F2DA5"/>
    <w:rsid w:val="007F3591"/>
    <w:rsid w:val="007F4C4F"/>
    <w:rsid w:val="007F4CF1"/>
    <w:rsid w:val="007F5626"/>
    <w:rsid w:val="007F725A"/>
    <w:rsid w:val="007F758D"/>
    <w:rsid w:val="007F7D52"/>
    <w:rsid w:val="0080264E"/>
    <w:rsid w:val="0080654C"/>
    <w:rsid w:val="00806607"/>
    <w:rsid w:val="008071C6"/>
    <w:rsid w:val="00807D43"/>
    <w:rsid w:val="00810E1E"/>
    <w:rsid w:val="00811506"/>
    <w:rsid w:val="00811AED"/>
    <w:rsid w:val="00812E42"/>
    <w:rsid w:val="008142E8"/>
    <w:rsid w:val="008168E3"/>
    <w:rsid w:val="00817A00"/>
    <w:rsid w:val="008204E8"/>
    <w:rsid w:val="00820DAA"/>
    <w:rsid w:val="00821545"/>
    <w:rsid w:val="0082365C"/>
    <w:rsid w:val="0082512C"/>
    <w:rsid w:val="00825286"/>
    <w:rsid w:val="008259F9"/>
    <w:rsid w:val="00827B84"/>
    <w:rsid w:val="00827C5C"/>
    <w:rsid w:val="00831806"/>
    <w:rsid w:val="0083440D"/>
    <w:rsid w:val="00834C6E"/>
    <w:rsid w:val="00835997"/>
    <w:rsid w:val="00835DB3"/>
    <w:rsid w:val="0083617B"/>
    <w:rsid w:val="008371BD"/>
    <w:rsid w:val="0083767E"/>
    <w:rsid w:val="00840257"/>
    <w:rsid w:val="008405AD"/>
    <w:rsid w:val="00840B61"/>
    <w:rsid w:val="00841761"/>
    <w:rsid w:val="008425F8"/>
    <w:rsid w:val="008427A3"/>
    <w:rsid w:val="00843455"/>
    <w:rsid w:val="008448CB"/>
    <w:rsid w:val="00845176"/>
    <w:rsid w:val="00846A99"/>
    <w:rsid w:val="00847566"/>
    <w:rsid w:val="008504A8"/>
    <w:rsid w:val="00850F51"/>
    <w:rsid w:val="0085132F"/>
    <w:rsid w:val="0085282E"/>
    <w:rsid w:val="00853719"/>
    <w:rsid w:val="00856D90"/>
    <w:rsid w:val="00857896"/>
    <w:rsid w:val="00857B0B"/>
    <w:rsid w:val="00861580"/>
    <w:rsid w:val="008615D4"/>
    <w:rsid w:val="00862E99"/>
    <w:rsid w:val="00862F11"/>
    <w:rsid w:val="00863100"/>
    <w:rsid w:val="008675B3"/>
    <w:rsid w:val="0086784A"/>
    <w:rsid w:val="0087198C"/>
    <w:rsid w:val="00872C1F"/>
    <w:rsid w:val="0087373A"/>
    <w:rsid w:val="00873B42"/>
    <w:rsid w:val="008740AA"/>
    <w:rsid w:val="008750A4"/>
    <w:rsid w:val="00876A06"/>
    <w:rsid w:val="00877FF7"/>
    <w:rsid w:val="0088076D"/>
    <w:rsid w:val="00882F7D"/>
    <w:rsid w:val="00884D58"/>
    <w:rsid w:val="00884F76"/>
    <w:rsid w:val="008856D8"/>
    <w:rsid w:val="00886BB2"/>
    <w:rsid w:val="00887FE6"/>
    <w:rsid w:val="008927D9"/>
    <w:rsid w:val="00892E82"/>
    <w:rsid w:val="008930AE"/>
    <w:rsid w:val="0089545A"/>
    <w:rsid w:val="00896E6C"/>
    <w:rsid w:val="008A1C0B"/>
    <w:rsid w:val="008A218B"/>
    <w:rsid w:val="008A2641"/>
    <w:rsid w:val="008A31F8"/>
    <w:rsid w:val="008A3BE3"/>
    <w:rsid w:val="008A559E"/>
    <w:rsid w:val="008A5A33"/>
    <w:rsid w:val="008A6150"/>
    <w:rsid w:val="008A6207"/>
    <w:rsid w:val="008A6B1D"/>
    <w:rsid w:val="008A6DE8"/>
    <w:rsid w:val="008A6EB6"/>
    <w:rsid w:val="008A7D31"/>
    <w:rsid w:val="008B0BFF"/>
    <w:rsid w:val="008B6DDA"/>
    <w:rsid w:val="008B715A"/>
    <w:rsid w:val="008C0DDD"/>
    <w:rsid w:val="008C1B58"/>
    <w:rsid w:val="008C1B7A"/>
    <w:rsid w:val="008C39AE"/>
    <w:rsid w:val="008C3ACD"/>
    <w:rsid w:val="008C4A81"/>
    <w:rsid w:val="008C590D"/>
    <w:rsid w:val="008C5992"/>
    <w:rsid w:val="008C59DA"/>
    <w:rsid w:val="008C74FA"/>
    <w:rsid w:val="008C7F74"/>
    <w:rsid w:val="008D04DA"/>
    <w:rsid w:val="008D27BD"/>
    <w:rsid w:val="008D3162"/>
    <w:rsid w:val="008D4BC4"/>
    <w:rsid w:val="008D5738"/>
    <w:rsid w:val="008D5E15"/>
    <w:rsid w:val="008D715F"/>
    <w:rsid w:val="008D7276"/>
    <w:rsid w:val="008D7583"/>
    <w:rsid w:val="008E031B"/>
    <w:rsid w:val="008E1794"/>
    <w:rsid w:val="008E7029"/>
    <w:rsid w:val="008E74F2"/>
    <w:rsid w:val="008E7EF6"/>
    <w:rsid w:val="008F03AE"/>
    <w:rsid w:val="008F0E4E"/>
    <w:rsid w:val="008F1F98"/>
    <w:rsid w:val="008F6758"/>
    <w:rsid w:val="008F7022"/>
    <w:rsid w:val="00900B82"/>
    <w:rsid w:val="00900EC7"/>
    <w:rsid w:val="009040DD"/>
    <w:rsid w:val="00904FA7"/>
    <w:rsid w:val="00905B47"/>
    <w:rsid w:val="009065DB"/>
    <w:rsid w:val="00906819"/>
    <w:rsid w:val="00906B51"/>
    <w:rsid w:val="0090765E"/>
    <w:rsid w:val="0090789E"/>
    <w:rsid w:val="00911153"/>
    <w:rsid w:val="00911FBF"/>
    <w:rsid w:val="0091331C"/>
    <w:rsid w:val="00915D3A"/>
    <w:rsid w:val="009216E1"/>
    <w:rsid w:val="00921BD9"/>
    <w:rsid w:val="00923E41"/>
    <w:rsid w:val="009279DE"/>
    <w:rsid w:val="00930116"/>
    <w:rsid w:val="0093034D"/>
    <w:rsid w:val="0093448B"/>
    <w:rsid w:val="009345A4"/>
    <w:rsid w:val="009347EC"/>
    <w:rsid w:val="00936C7D"/>
    <w:rsid w:val="00940825"/>
    <w:rsid w:val="0094212C"/>
    <w:rsid w:val="009428CE"/>
    <w:rsid w:val="0094370B"/>
    <w:rsid w:val="0094552D"/>
    <w:rsid w:val="009456A8"/>
    <w:rsid w:val="00945FCF"/>
    <w:rsid w:val="00946E6E"/>
    <w:rsid w:val="00947577"/>
    <w:rsid w:val="00951092"/>
    <w:rsid w:val="009513FB"/>
    <w:rsid w:val="00952531"/>
    <w:rsid w:val="00953A42"/>
    <w:rsid w:val="00953C23"/>
    <w:rsid w:val="00953F02"/>
    <w:rsid w:val="00954689"/>
    <w:rsid w:val="00956459"/>
    <w:rsid w:val="00956BF2"/>
    <w:rsid w:val="009617C9"/>
    <w:rsid w:val="00961C93"/>
    <w:rsid w:val="00961F59"/>
    <w:rsid w:val="009650BB"/>
    <w:rsid w:val="00965324"/>
    <w:rsid w:val="0096609F"/>
    <w:rsid w:val="009672BC"/>
    <w:rsid w:val="0097091E"/>
    <w:rsid w:val="00970E4E"/>
    <w:rsid w:val="00972A06"/>
    <w:rsid w:val="00974CAC"/>
    <w:rsid w:val="00974CF5"/>
    <w:rsid w:val="00975A19"/>
    <w:rsid w:val="009760D3"/>
    <w:rsid w:val="00977132"/>
    <w:rsid w:val="009801F9"/>
    <w:rsid w:val="009806AD"/>
    <w:rsid w:val="00981A4B"/>
    <w:rsid w:val="00982501"/>
    <w:rsid w:val="00983CB7"/>
    <w:rsid w:val="0098497E"/>
    <w:rsid w:val="0098529C"/>
    <w:rsid w:val="00985CCA"/>
    <w:rsid w:val="009872E9"/>
    <w:rsid w:val="009875DB"/>
    <w:rsid w:val="009877D3"/>
    <w:rsid w:val="00993E55"/>
    <w:rsid w:val="009942C2"/>
    <w:rsid w:val="00994E8F"/>
    <w:rsid w:val="009951DC"/>
    <w:rsid w:val="009959BB"/>
    <w:rsid w:val="00997158"/>
    <w:rsid w:val="009A068C"/>
    <w:rsid w:val="009A10D0"/>
    <w:rsid w:val="009A1366"/>
    <w:rsid w:val="009A1BB1"/>
    <w:rsid w:val="009A35DB"/>
    <w:rsid w:val="009A3A7C"/>
    <w:rsid w:val="009A48E5"/>
    <w:rsid w:val="009A61C4"/>
    <w:rsid w:val="009A745E"/>
    <w:rsid w:val="009B119B"/>
    <w:rsid w:val="009B22CD"/>
    <w:rsid w:val="009B2AC0"/>
    <w:rsid w:val="009B2ADB"/>
    <w:rsid w:val="009B37E2"/>
    <w:rsid w:val="009B4B29"/>
    <w:rsid w:val="009B5154"/>
    <w:rsid w:val="009B603A"/>
    <w:rsid w:val="009B77F1"/>
    <w:rsid w:val="009B7916"/>
    <w:rsid w:val="009C02E0"/>
    <w:rsid w:val="009C0591"/>
    <w:rsid w:val="009C20EE"/>
    <w:rsid w:val="009C2B9B"/>
    <w:rsid w:val="009C2D0E"/>
    <w:rsid w:val="009C3DAC"/>
    <w:rsid w:val="009C42E0"/>
    <w:rsid w:val="009C5202"/>
    <w:rsid w:val="009C60C0"/>
    <w:rsid w:val="009C6827"/>
    <w:rsid w:val="009C7244"/>
    <w:rsid w:val="009D00BC"/>
    <w:rsid w:val="009D0EE8"/>
    <w:rsid w:val="009D28AE"/>
    <w:rsid w:val="009D5362"/>
    <w:rsid w:val="009D60E7"/>
    <w:rsid w:val="009D7CFE"/>
    <w:rsid w:val="009E1415"/>
    <w:rsid w:val="009E1BA8"/>
    <w:rsid w:val="009E3C1B"/>
    <w:rsid w:val="009E58AC"/>
    <w:rsid w:val="009E6116"/>
    <w:rsid w:val="009E680F"/>
    <w:rsid w:val="009E7A64"/>
    <w:rsid w:val="009F12F3"/>
    <w:rsid w:val="009F3EDE"/>
    <w:rsid w:val="009F42AC"/>
    <w:rsid w:val="009F5759"/>
    <w:rsid w:val="009F5FD9"/>
    <w:rsid w:val="00A0165C"/>
    <w:rsid w:val="00A02162"/>
    <w:rsid w:val="00A02E43"/>
    <w:rsid w:val="00A065F9"/>
    <w:rsid w:val="00A07F34"/>
    <w:rsid w:val="00A12096"/>
    <w:rsid w:val="00A1233E"/>
    <w:rsid w:val="00A16BB5"/>
    <w:rsid w:val="00A16F87"/>
    <w:rsid w:val="00A22154"/>
    <w:rsid w:val="00A2217C"/>
    <w:rsid w:val="00A2232C"/>
    <w:rsid w:val="00A22470"/>
    <w:rsid w:val="00A22710"/>
    <w:rsid w:val="00A227C9"/>
    <w:rsid w:val="00A24193"/>
    <w:rsid w:val="00A24842"/>
    <w:rsid w:val="00A24CFD"/>
    <w:rsid w:val="00A25C38"/>
    <w:rsid w:val="00A301D3"/>
    <w:rsid w:val="00A340B0"/>
    <w:rsid w:val="00A36BBE"/>
    <w:rsid w:val="00A4035E"/>
    <w:rsid w:val="00A4307A"/>
    <w:rsid w:val="00A45100"/>
    <w:rsid w:val="00A460B5"/>
    <w:rsid w:val="00A47EBB"/>
    <w:rsid w:val="00A50FA4"/>
    <w:rsid w:val="00A511DD"/>
    <w:rsid w:val="00A51CDD"/>
    <w:rsid w:val="00A52D10"/>
    <w:rsid w:val="00A61596"/>
    <w:rsid w:val="00A617C7"/>
    <w:rsid w:val="00A62C1B"/>
    <w:rsid w:val="00A63B21"/>
    <w:rsid w:val="00A66D0C"/>
    <w:rsid w:val="00A6730D"/>
    <w:rsid w:val="00A708B1"/>
    <w:rsid w:val="00A71625"/>
    <w:rsid w:val="00A71B9B"/>
    <w:rsid w:val="00A71F67"/>
    <w:rsid w:val="00A7327F"/>
    <w:rsid w:val="00A7377E"/>
    <w:rsid w:val="00A74FE1"/>
    <w:rsid w:val="00A750BB"/>
    <w:rsid w:val="00A751C7"/>
    <w:rsid w:val="00A75E0E"/>
    <w:rsid w:val="00A8185F"/>
    <w:rsid w:val="00A842AF"/>
    <w:rsid w:val="00A8730B"/>
    <w:rsid w:val="00A87844"/>
    <w:rsid w:val="00A9179E"/>
    <w:rsid w:val="00A93019"/>
    <w:rsid w:val="00A94C84"/>
    <w:rsid w:val="00AA038C"/>
    <w:rsid w:val="00AA2714"/>
    <w:rsid w:val="00AA3277"/>
    <w:rsid w:val="00AA3F6D"/>
    <w:rsid w:val="00AA457A"/>
    <w:rsid w:val="00AA671C"/>
    <w:rsid w:val="00AA7A09"/>
    <w:rsid w:val="00AB0A95"/>
    <w:rsid w:val="00AB0BE7"/>
    <w:rsid w:val="00AB18D2"/>
    <w:rsid w:val="00AB2207"/>
    <w:rsid w:val="00AB2741"/>
    <w:rsid w:val="00AB3B50"/>
    <w:rsid w:val="00AB3F91"/>
    <w:rsid w:val="00AB4296"/>
    <w:rsid w:val="00AB6195"/>
    <w:rsid w:val="00AB74AC"/>
    <w:rsid w:val="00AC05B1"/>
    <w:rsid w:val="00AC1533"/>
    <w:rsid w:val="00AC3134"/>
    <w:rsid w:val="00AC3745"/>
    <w:rsid w:val="00AC3FCD"/>
    <w:rsid w:val="00AC5938"/>
    <w:rsid w:val="00AC698E"/>
    <w:rsid w:val="00AD33B5"/>
    <w:rsid w:val="00AD356C"/>
    <w:rsid w:val="00AD579C"/>
    <w:rsid w:val="00AE2914"/>
    <w:rsid w:val="00AE2A6D"/>
    <w:rsid w:val="00AE6D15"/>
    <w:rsid w:val="00AF0FEB"/>
    <w:rsid w:val="00AF142B"/>
    <w:rsid w:val="00AF1E65"/>
    <w:rsid w:val="00AF2E66"/>
    <w:rsid w:val="00AF2F3B"/>
    <w:rsid w:val="00AF50A3"/>
    <w:rsid w:val="00AF6063"/>
    <w:rsid w:val="00B0012A"/>
    <w:rsid w:val="00B04182"/>
    <w:rsid w:val="00B05635"/>
    <w:rsid w:val="00B060B8"/>
    <w:rsid w:val="00B0757C"/>
    <w:rsid w:val="00B07AE3"/>
    <w:rsid w:val="00B11430"/>
    <w:rsid w:val="00B13AFC"/>
    <w:rsid w:val="00B1480D"/>
    <w:rsid w:val="00B15BB3"/>
    <w:rsid w:val="00B1655E"/>
    <w:rsid w:val="00B20245"/>
    <w:rsid w:val="00B20598"/>
    <w:rsid w:val="00B215A3"/>
    <w:rsid w:val="00B22822"/>
    <w:rsid w:val="00B23682"/>
    <w:rsid w:val="00B257F2"/>
    <w:rsid w:val="00B2581D"/>
    <w:rsid w:val="00B25E90"/>
    <w:rsid w:val="00B302F4"/>
    <w:rsid w:val="00B332AE"/>
    <w:rsid w:val="00B3500B"/>
    <w:rsid w:val="00B353EB"/>
    <w:rsid w:val="00B3701E"/>
    <w:rsid w:val="00B439C4"/>
    <w:rsid w:val="00B43B7A"/>
    <w:rsid w:val="00B4535E"/>
    <w:rsid w:val="00B51AB7"/>
    <w:rsid w:val="00B524BD"/>
    <w:rsid w:val="00B5289A"/>
    <w:rsid w:val="00B52A8C"/>
    <w:rsid w:val="00B543B6"/>
    <w:rsid w:val="00B55AB8"/>
    <w:rsid w:val="00B56359"/>
    <w:rsid w:val="00B5699E"/>
    <w:rsid w:val="00B57BD0"/>
    <w:rsid w:val="00B60828"/>
    <w:rsid w:val="00B61A7E"/>
    <w:rsid w:val="00B636A8"/>
    <w:rsid w:val="00B63C78"/>
    <w:rsid w:val="00B63D77"/>
    <w:rsid w:val="00B6504B"/>
    <w:rsid w:val="00B66424"/>
    <w:rsid w:val="00B665C6"/>
    <w:rsid w:val="00B66654"/>
    <w:rsid w:val="00B67CFD"/>
    <w:rsid w:val="00B719DE"/>
    <w:rsid w:val="00B71D7E"/>
    <w:rsid w:val="00B73CF7"/>
    <w:rsid w:val="00B74449"/>
    <w:rsid w:val="00B7502D"/>
    <w:rsid w:val="00B805AF"/>
    <w:rsid w:val="00B810BB"/>
    <w:rsid w:val="00B81BD1"/>
    <w:rsid w:val="00B83A31"/>
    <w:rsid w:val="00B83F78"/>
    <w:rsid w:val="00B84AE8"/>
    <w:rsid w:val="00B85AEE"/>
    <w:rsid w:val="00B86539"/>
    <w:rsid w:val="00B869EC"/>
    <w:rsid w:val="00B87E43"/>
    <w:rsid w:val="00B90671"/>
    <w:rsid w:val="00B91635"/>
    <w:rsid w:val="00B92C07"/>
    <w:rsid w:val="00B92E23"/>
    <w:rsid w:val="00B9397A"/>
    <w:rsid w:val="00B9633D"/>
    <w:rsid w:val="00B97082"/>
    <w:rsid w:val="00BA15D4"/>
    <w:rsid w:val="00BA1AE4"/>
    <w:rsid w:val="00BA2BD7"/>
    <w:rsid w:val="00BA2EBE"/>
    <w:rsid w:val="00BA3F40"/>
    <w:rsid w:val="00BA6367"/>
    <w:rsid w:val="00BB0F28"/>
    <w:rsid w:val="00BB1C9B"/>
    <w:rsid w:val="00BB458A"/>
    <w:rsid w:val="00BB4AE8"/>
    <w:rsid w:val="00BB7C08"/>
    <w:rsid w:val="00BC0C3B"/>
    <w:rsid w:val="00BC115C"/>
    <w:rsid w:val="00BC256F"/>
    <w:rsid w:val="00BC2614"/>
    <w:rsid w:val="00BC464D"/>
    <w:rsid w:val="00BC6C14"/>
    <w:rsid w:val="00BC6D4A"/>
    <w:rsid w:val="00BD00D3"/>
    <w:rsid w:val="00BD094C"/>
    <w:rsid w:val="00BD144B"/>
    <w:rsid w:val="00BD1659"/>
    <w:rsid w:val="00BD17C5"/>
    <w:rsid w:val="00BD3AA9"/>
    <w:rsid w:val="00BD4A18"/>
    <w:rsid w:val="00BD5082"/>
    <w:rsid w:val="00BD63D3"/>
    <w:rsid w:val="00BD6DB2"/>
    <w:rsid w:val="00BE0F35"/>
    <w:rsid w:val="00BE11CF"/>
    <w:rsid w:val="00BE2031"/>
    <w:rsid w:val="00BE21AB"/>
    <w:rsid w:val="00BE3DA6"/>
    <w:rsid w:val="00BE55CB"/>
    <w:rsid w:val="00BE6225"/>
    <w:rsid w:val="00BE6862"/>
    <w:rsid w:val="00BE7D23"/>
    <w:rsid w:val="00BF0807"/>
    <w:rsid w:val="00BF1780"/>
    <w:rsid w:val="00BF203B"/>
    <w:rsid w:val="00BF2149"/>
    <w:rsid w:val="00BF3433"/>
    <w:rsid w:val="00BF4025"/>
    <w:rsid w:val="00BF41DA"/>
    <w:rsid w:val="00BF617A"/>
    <w:rsid w:val="00BF673B"/>
    <w:rsid w:val="00C023D2"/>
    <w:rsid w:val="00C0379D"/>
    <w:rsid w:val="00C03821"/>
    <w:rsid w:val="00C03931"/>
    <w:rsid w:val="00C0476E"/>
    <w:rsid w:val="00C04BCE"/>
    <w:rsid w:val="00C05FE3"/>
    <w:rsid w:val="00C06E21"/>
    <w:rsid w:val="00C07008"/>
    <w:rsid w:val="00C10A22"/>
    <w:rsid w:val="00C10BA4"/>
    <w:rsid w:val="00C139B3"/>
    <w:rsid w:val="00C148AA"/>
    <w:rsid w:val="00C16158"/>
    <w:rsid w:val="00C16311"/>
    <w:rsid w:val="00C165D4"/>
    <w:rsid w:val="00C178B0"/>
    <w:rsid w:val="00C20C86"/>
    <w:rsid w:val="00C21078"/>
    <w:rsid w:val="00C21305"/>
    <w:rsid w:val="00C2136D"/>
    <w:rsid w:val="00C214EE"/>
    <w:rsid w:val="00C22050"/>
    <w:rsid w:val="00C2207C"/>
    <w:rsid w:val="00C2314B"/>
    <w:rsid w:val="00C231D5"/>
    <w:rsid w:val="00C24971"/>
    <w:rsid w:val="00C261D2"/>
    <w:rsid w:val="00C26BE5"/>
    <w:rsid w:val="00C26E4D"/>
    <w:rsid w:val="00C27909"/>
    <w:rsid w:val="00C27B03"/>
    <w:rsid w:val="00C3054C"/>
    <w:rsid w:val="00C314E1"/>
    <w:rsid w:val="00C31C60"/>
    <w:rsid w:val="00C32A18"/>
    <w:rsid w:val="00C34397"/>
    <w:rsid w:val="00C36AF8"/>
    <w:rsid w:val="00C37865"/>
    <w:rsid w:val="00C37866"/>
    <w:rsid w:val="00C378D5"/>
    <w:rsid w:val="00C37E20"/>
    <w:rsid w:val="00C403AF"/>
    <w:rsid w:val="00C4095D"/>
    <w:rsid w:val="00C42064"/>
    <w:rsid w:val="00C42630"/>
    <w:rsid w:val="00C43AED"/>
    <w:rsid w:val="00C43E78"/>
    <w:rsid w:val="00C45F66"/>
    <w:rsid w:val="00C479A2"/>
    <w:rsid w:val="00C50C9E"/>
    <w:rsid w:val="00C516DE"/>
    <w:rsid w:val="00C51AD5"/>
    <w:rsid w:val="00C521E4"/>
    <w:rsid w:val="00C5357E"/>
    <w:rsid w:val="00C53DF6"/>
    <w:rsid w:val="00C54D12"/>
    <w:rsid w:val="00C57913"/>
    <w:rsid w:val="00C57F7B"/>
    <w:rsid w:val="00C601D2"/>
    <w:rsid w:val="00C618AA"/>
    <w:rsid w:val="00C62509"/>
    <w:rsid w:val="00C62623"/>
    <w:rsid w:val="00C62BD9"/>
    <w:rsid w:val="00C63D0A"/>
    <w:rsid w:val="00C641CF"/>
    <w:rsid w:val="00C64BD6"/>
    <w:rsid w:val="00C64E85"/>
    <w:rsid w:val="00C65BCC"/>
    <w:rsid w:val="00C66970"/>
    <w:rsid w:val="00C6744A"/>
    <w:rsid w:val="00C7075F"/>
    <w:rsid w:val="00C726EA"/>
    <w:rsid w:val="00C776A5"/>
    <w:rsid w:val="00C809B0"/>
    <w:rsid w:val="00C83FF2"/>
    <w:rsid w:val="00C85D44"/>
    <w:rsid w:val="00C8662A"/>
    <w:rsid w:val="00C8691C"/>
    <w:rsid w:val="00C86C0E"/>
    <w:rsid w:val="00C87858"/>
    <w:rsid w:val="00C87D86"/>
    <w:rsid w:val="00C933D9"/>
    <w:rsid w:val="00CA168A"/>
    <w:rsid w:val="00CA216E"/>
    <w:rsid w:val="00CA357E"/>
    <w:rsid w:val="00CA4166"/>
    <w:rsid w:val="00CA44F9"/>
    <w:rsid w:val="00CA481E"/>
    <w:rsid w:val="00CA4A69"/>
    <w:rsid w:val="00CA50B7"/>
    <w:rsid w:val="00CA639F"/>
    <w:rsid w:val="00CA6779"/>
    <w:rsid w:val="00CB0F35"/>
    <w:rsid w:val="00CB2815"/>
    <w:rsid w:val="00CB4883"/>
    <w:rsid w:val="00CB4CFE"/>
    <w:rsid w:val="00CB50E8"/>
    <w:rsid w:val="00CB5F9D"/>
    <w:rsid w:val="00CB6CAA"/>
    <w:rsid w:val="00CC2180"/>
    <w:rsid w:val="00CC2F37"/>
    <w:rsid w:val="00CC3E0C"/>
    <w:rsid w:val="00CC4372"/>
    <w:rsid w:val="00CC58D3"/>
    <w:rsid w:val="00CC5DD4"/>
    <w:rsid w:val="00CC73BB"/>
    <w:rsid w:val="00CC784D"/>
    <w:rsid w:val="00CD09CC"/>
    <w:rsid w:val="00CD0CBB"/>
    <w:rsid w:val="00CD1AF8"/>
    <w:rsid w:val="00CD21CA"/>
    <w:rsid w:val="00CD33D7"/>
    <w:rsid w:val="00CD4968"/>
    <w:rsid w:val="00CD54A3"/>
    <w:rsid w:val="00CE2985"/>
    <w:rsid w:val="00CE542A"/>
    <w:rsid w:val="00CE5AF5"/>
    <w:rsid w:val="00CE5DD1"/>
    <w:rsid w:val="00CE61A3"/>
    <w:rsid w:val="00CE6D10"/>
    <w:rsid w:val="00CE7B33"/>
    <w:rsid w:val="00CF3443"/>
    <w:rsid w:val="00CF56F1"/>
    <w:rsid w:val="00CF669C"/>
    <w:rsid w:val="00D020D4"/>
    <w:rsid w:val="00D026A7"/>
    <w:rsid w:val="00D0337B"/>
    <w:rsid w:val="00D0340C"/>
    <w:rsid w:val="00D039BA"/>
    <w:rsid w:val="00D0441D"/>
    <w:rsid w:val="00D04CAE"/>
    <w:rsid w:val="00D0695F"/>
    <w:rsid w:val="00D079B2"/>
    <w:rsid w:val="00D07AAF"/>
    <w:rsid w:val="00D114E9"/>
    <w:rsid w:val="00D116C1"/>
    <w:rsid w:val="00D123E7"/>
    <w:rsid w:val="00D12CA2"/>
    <w:rsid w:val="00D1682E"/>
    <w:rsid w:val="00D1784C"/>
    <w:rsid w:val="00D20919"/>
    <w:rsid w:val="00D20CA3"/>
    <w:rsid w:val="00D25038"/>
    <w:rsid w:val="00D25B84"/>
    <w:rsid w:val="00D26938"/>
    <w:rsid w:val="00D274FD"/>
    <w:rsid w:val="00D279B9"/>
    <w:rsid w:val="00D3100F"/>
    <w:rsid w:val="00D331B3"/>
    <w:rsid w:val="00D334B3"/>
    <w:rsid w:val="00D33CEE"/>
    <w:rsid w:val="00D34C1A"/>
    <w:rsid w:val="00D3526D"/>
    <w:rsid w:val="00D35686"/>
    <w:rsid w:val="00D35E0F"/>
    <w:rsid w:val="00D3602A"/>
    <w:rsid w:val="00D3642D"/>
    <w:rsid w:val="00D3797A"/>
    <w:rsid w:val="00D41EEC"/>
    <w:rsid w:val="00D429C6"/>
    <w:rsid w:val="00D44734"/>
    <w:rsid w:val="00D45551"/>
    <w:rsid w:val="00D47748"/>
    <w:rsid w:val="00D52E90"/>
    <w:rsid w:val="00D54500"/>
    <w:rsid w:val="00D546FE"/>
    <w:rsid w:val="00D54CC3"/>
    <w:rsid w:val="00D56C52"/>
    <w:rsid w:val="00D56E31"/>
    <w:rsid w:val="00D60095"/>
    <w:rsid w:val="00D6041A"/>
    <w:rsid w:val="00D6161B"/>
    <w:rsid w:val="00D61A49"/>
    <w:rsid w:val="00D61F0A"/>
    <w:rsid w:val="00D623F8"/>
    <w:rsid w:val="00D6285A"/>
    <w:rsid w:val="00D62FC5"/>
    <w:rsid w:val="00D633EB"/>
    <w:rsid w:val="00D63581"/>
    <w:rsid w:val="00D63644"/>
    <w:rsid w:val="00D639A9"/>
    <w:rsid w:val="00D64AAA"/>
    <w:rsid w:val="00D64F1F"/>
    <w:rsid w:val="00D65076"/>
    <w:rsid w:val="00D71D5C"/>
    <w:rsid w:val="00D73A9F"/>
    <w:rsid w:val="00D73D82"/>
    <w:rsid w:val="00D74C70"/>
    <w:rsid w:val="00D7530C"/>
    <w:rsid w:val="00D759D1"/>
    <w:rsid w:val="00D75D67"/>
    <w:rsid w:val="00D75DB8"/>
    <w:rsid w:val="00D75F97"/>
    <w:rsid w:val="00D760DF"/>
    <w:rsid w:val="00D77F30"/>
    <w:rsid w:val="00D81361"/>
    <w:rsid w:val="00D82470"/>
    <w:rsid w:val="00D826B3"/>
    <w:rsid w:val="00D82FF7"/>
    <w:rsid w:val="00D83570"/>
    <w:rsid w:val="00D8382E"/>
    <w:rsid w:val="00D845A9"/>
    <w:rsid w:val="00D847FE"/>
    <w:rsid w:val="00D85AD1"/>
    <w:rsid w:val="00D92046"/>
    <w:rsid w:val="00D95C4D"/>
    <w:rsid w:val="00D96434"/>
    <w:rsid w:val="00D964EA"/>
    <w:rsid w:val="00D966D0"/>
    <w:rsid w:val="00DA0C59"/>
    <w:rsid w:val="00DA1F56"/>
    <w:rsid w:val="00DA2320"/>
    <w:rsid w:val="00DA3765"/>
    <w:rsid w:val="00DA3991"/>
    <w:rsid w:val="00DA495A"/>
    <w:rsid w:val="00DA4FA0"/>
    <w:rsid w:val="00DA6524"/>
    <w:rsid w:val="00DA6FB8"/>
    <w:rsid w:val="00DB0514"/>
    <w:rsid w:val="00DB11E3"/>
    <w:rsid w:val="00DB2FF6"/>
    <w:rsid w:val="00DB308B"/>
    <w:rsid w:val="00DB478E"/>
    <w:rsid w:val="00DB6AF5"/>
    <w:rsid w:val="00DB71B2"/>
    <w:rsid w:val="00DB7611"/>
    <w:rsid w:val="00DB7D6A"/>
    <w:rsid w:val="00DB7E6C"/>
    <w:rsid w:val="00DC1425"/>
    <w:rsid w:val="00DC1795"/>
    <w:rsid w:val="00DC39C8"/>
    <w:rsid w:val="00DC4E9A"/>
    <w:rsid w:val="00DC5267"/>
    <w:rsid w:val="00DC62E6"/>
    <w:rsid w:val="00DC6878"/>
    <w:rsid w:val="00DC6AD5"/>
    <w:rsid w:val="00DC7B54"/>
    <w:rsid w:val="00DD0215"/>
    <w:rsid w:val="00DD5A29"/>
    <w:rsid w:val="00DD5D9D"/>
    <w:rsid w:val="00DD5EBE"/>
    <w:rsid w:val="00DD6EF1"/>
    <w:rsid w:val="00DD73F2"/>
    <w:rsid w:val="00DE0D6A"/>
    <w:rsid w:val="00DE2A65"/>
    <w:rsid w:val="00DE35CB"/>
    <w:rsid w:val="00DE6193"/>
    <w:rsid w:val="00DE66D8"/>
    <w:rsid w:val="00DF21E9"/>
    <w:rsid w:val="00DF2AAB"/>
    <w:rsid w:val="00DF319A"/>
    <w:rsid w:val="00DF3C11"/>
    <w:rsid w:val="00DF3C1E"/>
    <w:rsid w:val="00DF5219"/>
    <w:rsid w:val="00DF5398"/>
    <w:rsid w:val="00DF5D00"/>
    <w:rsid w:val="00DF6998"/>
    <w:rsid w:val="00DF7A77"/>
    <w:rsid w:val="00E006B0"/>
    <w:rsid w:val="00E00F14"/>
    <w:rsid w:val="00E0121F"/>
    <w:rsid w:val="00E04BD9"/>
    <w:rsid w:val="00E05C7C"/>
    <w:rsid w:val="00E06386"/>
    <w:rsid w:val="00E070DB"/>
    <w:rsid w:val="00E11AAE"/>
    <w:rsid w:val="00E14EC6"/>
    <w:rsid w:val="00E15E3B"/>
    <w:rsid w:val="00E16E71"/>
    <w:rsid w:val="00E17196"/>
    <w:rsid w:val="00E17DA2"/>
    <w:rsid w:val="00E20512"/>
    <w:rsid w:val="00E21629"/>
    <w:rsid w:val="00E21678"/>
    <w:rsid w:val="00E2225F"/>
    <w:rsid w:val="00E228EF"/>
    <w:rsid w:val="00E24EB4"/>
    <w:rsid w:val="00E25043"/>
    <w:rsid w:val="00E2778C"/>
    <w:rsid w:val="00E30B92"/>
    <w:rsid w:val="00E320ED"/>
    <w:rsid w:val="00E3298A"/>
    <w:rsid w:val="00E33AFB"/>
    <w:rsid w:val="00E33D3D"/>
    <w:rsid w:val="00E33E6E"/>
    <w:rsid w:val="00E34218"/>
    <w:rsid w:val="00E34E5D"/>
    <w:rsid w:val="00E35EBF"/>
    <w:rsid w:val="00E3650D"/>
    <w:rsid w:val="00E37BF8"/>
    <w:rsid w:val="00E4409F"/>
    <w:rsid w:val="00E448F6"/>
    <w:rsid w:val="00E45170"/>
    <w:rsid w:val="00E45E31"/>
    <w:rsid w:val="00E46282"/>
    <w:rsid w:val="00E46F02"/>
    <w:rsid w:val="00E470E4"/>
    <w:rsid w:val="00E5216E"/>
    <w:rsid w:val="00E54428"/>
    <w:rsid w:val="00E55517"/>
    <w:rsid w:val="00E55CBD"/>
    <w:rsid w:val="00E56EA3"/>
    <w:rsid w:val="00E57099"/>
    <w:rsid w:val="00E57D4C"/>
    <w:rsid w:val="00E64823"/>
    <w:rsid w:val="00E679A5"/>
    <w:rsid w:val="00E67F97"/>
    <w:rsid w:val="00E71524"/>
    <w:rsid w:val="00E728F8"/>
    <w:rsid w:val="00E73D4A"/>
    <w:rsid w:val="00E74869"/>
    <w:rsid w:val="00E74E53"/>
    <w:rsid w:val="00E752E0"/>
    <w:rsid w:val="00E77BF6"/>
    <w:rsid w:val="00E81841"/>
    <w:rsid w:val="00E81953"/>
    <w:rsid w:val="00E82344"/>
    <w:rsid w:val="00E82772"/>
    <w:rsid w:val="00E8319E"/>
    <w:rsid w:val="00E83E74"/>
    <w:rsid w:val="00E84815"/>
    <w:rsid w:val="00E84C82"/>
    <w:rsid w:val="00E84D64"/>
    <w:rsid w:val="00E87408"/>
    <w:rsid w:val="00E903F8"/>
    <w:rsid w:val="00E9052F"/>
    <w:rsid w:val="00E914C4"/>
    <w:rsid w:val="00E934F5"/>
    <w:rsid w:val="00E93D32"/>
    <w:rsid w:val="00E93DBE"/>
    <w:rsid w:val="00E94394"/>
    <w:rsid w:val="00E9484B"/>
    <w:rsid w:val="00E95663"/>
    <w:rsid w:val="00E95A58"/>
    <w:rsid w:val="00E96961"/>
    <w:rsid w:val="00E96E7B"/>
    <w:rsid w:val="00E974C7"/>
    <w:rsid w:val="00E97D78"/>
    <w:rsid w:val="00EA0435"/>
    <w:rsid w:val="00EA189B"/>
    <w:rsid w:val="00EA1B3D"/>
    <w:rsid w:val="00EA30E7"/>
    <w:rsid w:val="00EA3584"/>
    <w:rsid w:val="00EA4E25"/>
    <w:rsid w:val="00EA4FBA"/>
    <w:rsid w:val="00EA5644"/>
    <w:rsid w:val="00EA72EC"/>
    <w:rsid w:val="00EA73F9"/>
    <w:rsid w:val="00EB0B01"/>
    <w:rsid w:val="00EB0CE3"/>
    <w:rsid w:val="00EB11CB"/>
    <w:rsid w:val="00EB1E8F"/>
    <w:rsid w:val="00EB2642"/>
    <w:rsid w:val="00EB275A"/>
    <w:rsid w:val="00EB487F"/>
    <w:rsid w:val="00EB4C12"/>
    <w:rsid w:val="00EB5704"/>
    <w:rsid w:val="00EB752A"/>
    <w:rsid w:val="00EB7748"/>
    <w:rsid w:val="00EB786A"/>
    <w:rsid w:val="00EC1342"/>
    <w:rsid w:val="00EC1578"/>
    <w:rsid w:val="00EC1C72"/>
    <w:rsid w:val="00EC3CC9"/>
    <w:rsid w:val="00EC49EA"/>
    <w:rsid w:val="00EC4C24"/>
    <w:rsid w:val="00EC5B04"/>
    <w:rsid w:val="00EC5BF3"/>
    <w:rsid w:val="00EC680A"/>
    <w:rsid w:val="00EC6C23"/>
    <w:rsid w:val="00ED0485"/>
    <w:rsid w:val="00ED16DB"/>
    <w:rsid w:val="00ED2417"/>
    <w:rsid w:val="00ED321A"/>
    <w:rsid w:val="00ED6517"/>
    <w:rsid w:val="00ED743C"/>
    <w:rsid w:val="00ED7477"/>
    <w:rsid w:val="00EE078B"/>
    <w:rsid w:val="00EE0800"/>
    <w:rsid w:val="00EE1DF9"/>
    <w:rsid w:val="00EE2BED"/>
    <w:rsid w:val="00EE374B"/>
    <w:rsid w:val="00EE41F1"/>
    <w:rsid w:val="00EE5DC3"/>
    <w:rsid w:val="00EF1DC9"/>
    <w:rsid w:val="00EF5EE0"/>
    <w:rsid w:val="00EF68D3"/>
    <w:rsid w:val="00F003B6"/>
    <w:rsid w:val="00F0096C"/>
    <w:rsid w:val="00F00BA8"/>
    <w:rsid w:val="00F02BC3"/>
    <w:rsid w:val="00F02DAE"/>
    <w:rsid w:val="00F06691"/>
    <w:rsid w:val="00F11BB5"/>
    <w:rsid w:val="00F1208C"/>
    <w:rsid w:val="00F1417B"/>
    <w:rsid w:val="00F16596"/>
    <w:rsid w:val="00F1766D"/>
    <w:rsid w:val="00F176FC"/>
    <w:rsid w:val="00F21B3E"/>
    <w:rsid w:val="00F223EF"/>
    <w:rsid w:val="00F22D20"/>
    <w:rsid w:val="00F232E4"/>
    <w:rsid w:val="00F23696"/>
    <w:rsid w:val="00F23698"/>
    <w:rsid w:val="00F24C9B"/>
    <w:rsid w:val="00F265A6"/>
    <w:rsid w:val="00F271F6"/>
    <w:rsid w:val="00F27936"/>
    <w:rsid w:val="00F32B92"/>
    <w:rsid w:val="00F333C0"/>
    <w:rsid w:val="00F3407F"/>
    <w:rsid w:val="00F34B99"/>
    <w:rsid w:val="00F35113"/>
    <w:rsid w:val="00F42CDD"/>
    <w:rsid w:val="00F447A0"/>
    <w:rsid w:val="00F45971"/>
    <w:rsid w:val="00F51C68"/>
    <w:rsid w:val="00F52C2C"/>
    <w:rsid w:val="00F52DAB"/>
    <w:rsid w:val="00F543F0"/>
    <w:rsid w:val="00F604A4"/>
    <w:rsid w:val="00F616A4"/>
    <w:rsid w:val="00F64FE8"/>
    <w:rsid w:val="00F65D61"/>
    <w:rsid w:val="00F6649D"/>
    <w:rsid w:val="00F66FB3"/>
    <w:rsid w:val="00F6712C"/>
    <w:rsid w:val="00F67147"/>
    <w:rsid w:val="00F70DC0"/>
    <w:rsid w:val="00F71110"/>
    <w:rsid w:val="00F731A8"/>
    <w:rsid w:val="00F74D5E"/>
    <w:rsid w:val="00F80327"/>
    <w:rsid w:val="00F80C5D"/>
    <w:rsid w:val="00F80D88"/>
    <w:rsid w:val="00F80EB0"/>
    <w:rsid w:val="00F81D29"/>
    <w:rsid w:val="00F83FC6"/>
    <w:rsid w:val="00F86102"/>
    <w:rsid w:val="00F876CD"/>
    <w:rsid w:val="00F908B7"/>
    <w:rsid w:val="00F9191A"/>
    <w:rsid w:val="00F91C4D"/>
    <w:rsid w:val="00F92FD9"/>
    <w:rsid w:val="00F94929"/>
    <w:rsid w:val="00F95120"/>
    <w:rsid w:val="00F96BEC"/>
    <w:rsid w:val="00FA00BB"/>
    <w:rsid w:val="00FA27E4"/>
    <w:rsid w:val="00FA3835"/>
    <w:rsid w:val="00FA3B80"/>
    <w:rsid w:val="00FA4118"/>
    <w:rsid w:val="00FA4F98"/>
    <w:rsid w:val="00FA6684"/>
    <w:rsid w:val="00FA731E"/>
    <w:rsid w:val="00FA74B2"/>
    <w:rsid w:val="00FB1319"/>
    <w:rsid w:val="00FB2AC8"/>
    <w:rsid w:val="00FB2B38"/>
    <w:rsid w:val="00FB2F9A"/>
    <w:rsid w:val="00FB4190"/>
    <w:rsid w:val="00FB4B52"/>
    <w:rsid w:val="00FB6331"/>
    <w:rsid w:val="00FB6CB6"/>
    <w:rsid w:val="00FB7185"/>
    <w:rsid w:val="00FC0A0A"/>
    <w:rsid w:val="00FC4E06"/>
    <w:rsid w:val="00FC5A5A"/>
    <w:rsid w:val="00FC6358"/>
    <w:rsid w:val="00FD2D6C"/>
    <w:rsid w:val="00FD320D"/>
    <w:rsid w:val="00FD4C11"/>
    <w:rsid w:val="00FD62CD"/>
    <w:rsid w:val="00FE02A8"/>
    <w:rsid w:val="00FE076C"/>
    <w:rsid w:val="00FE0A63"/>
    <w:rsid w:val="00FE23DE"/>
    <w:rsid w:val="00FE4157"/>
    <w:rsid w:val="00FE5E7B"/>
    <w:rsid w:val="00FE7EAF"/>
    <w:rsid w:val="00FF049A"/>
    <w:rsid w:val="00FF0AC2"/>
    <w:rsid w:val="00FF4E78"/>
    <w:rsid w:val="00FF6171"/>
    <w:rsid w:val="00FF657E"/>
    <w:rsid w:val="00FF749A"/>
    <w:rsid w:val="01785675"/>
    <w:rsid w:val="01DC1C90"/>
    <w:rsid w:val="01E34D25"/>
    <w:rsid w:val="02C363B6"/>
    <w:rsid w:val="033D2FF4"/>
    <w:rsid w:val="034F1B59"/>
    <w:rsid w:val="03B9272D"/>
    <w:rsid w:val="045A6A33"/>
    <w:rsid w:val="04623E3F"/>
    <w:rsid w:val="04E6205A"/>
    <w:rsid w:val="07AA093E"/>
    <w:rsid w:val="08DE7A37"/>
    <w:rsid w:val="0C857884"/>
    <w:rsid w:val="0CA507CB"/>
    <w:rsid w:val="0CBC40CB"/>
    <w:rsid w:val="0D0D3C50"/>
    <w:rsid w:val="12B90746"/>
    <w:rsid w:val="13412C47"/>
    <w:rsid w:val="13A60942"/>
    <w:rsid w:val="15FE21BD"/>
    <w:rsid w:val="169E5C7E"/>
    <w:rsid w:val="16C67F6C"/>
    <w:rsid w:val="16F431C4"/>
    <w:rsid w:val="19574DA2"/>
    <w:rsid w:val="1C461BF4"/>
    <w:rsid w:val="1C864BDA"/>
    <w:rsid w:val="1CB26D23"/>
    <w:rsid w:val="1D414F23"/>
    <w:rsid w:val="1D5259FB"/>
    <w:rsid w:val="1DB2315A"/>
    <w:rsid w:val="1E660D75"/>
    <w:rsid w:val="1EFD3064"/>
    <w:rsid w:val="1FCC2438"/>
    <w:rsid w:val="1FF53B16"/>
    <w:rsid w:val="20560FA9"/>
    <w:rsid w:val="21BC1058"/>
    <w:rsid w:val="23210B67"/>
    <w:rsid w:val="246D53C4"/>
    <w:rsid w:val="27175640"/>
    <w:rsid w:val="280B7D17"/>
    <w:rsid w:val="284D6A07"/>
    <w:rsid w:val="28E33CA5"/>
    <w:rsid w:val="2938142A"/>
    <w:rsid w:val="294E0D59"/>
    <w:rsid w:val="298F1B46"/>
    <w:rsid w:val="2B682B9A"/>
    <w:rsid w:val="2B6B1ED0"/>
    <w:rsid w:val="2BFB6435"/>
    <w:rsid w:val="2CAF7AB4"/>
    <w:rsid w:val="2CF83155"/>
    <w:rsid w:val="2D79212A"/>
    <w:rsid w:val="2DC756D5"/>
    <w:rsid w:val="2EF3074C"/>
    <w:rsid w:val="305C56E5"/>
    <w:rsid w:val="31D077C5"/>
    <w:rsid w:val="3363503F"/>
    <w:rsid w:val="33F12709"/>
    <w:rsid w:val="3675482A"/>
    <w:rsid w:val="37657480"/>
    <w:rsid w:val="38055F72"/>
    <w:rsid w:val="38866F49"/>
    <w:rsid w:val="39CA467D"/>
    <w:rsid w:val="3B071567"/>
    <w:rsid w:val="3D555B8B"/>
    <w:rsid w:val="3E23065E"/>
    <w:rsid w:val="3E3E45AC"/>
    <w:rsid w:val="40355B37"/>
    <w:rsid w:val="41487A27"/>
    <w:rsid w:val="414E51B4"/>
    <w:rsid w:val="42047BA8"/>
    <w:rsid w:val="424B364E"/>
    <w:rsid w:val="424C2421"/>
    <w:rsid w:val="433056DE"/>
    <w:rsid w:val="434652EE"/>
    <w:rsid w:val="45DB6EF0"/>
    <w:rsid w:val="46066B73"/>
    <w:rsid w:val="46223FA3"/>
    <w:rsid w:val="4659614A"/>
    <w:rsid w:val="471F3DB0"/>
    <w:rsid w:val="479250A8"/>
    <w:rsid w:val="47C20679"/>
    <w:rsid w:val="481F7AC4"/>
    <w:rsid w:val="48D82712"/>
    <w:rsid w:val="4B366F59"/>
    <w:rsid w:val="4C0B0F4F"/>
    <w:rsid w:val="4D3E69DA"/>
    <w:rsid w:val="4EBC0A70"/>
    <w:rsid w:val="52497552"/>
    <w:rsid w:val="5480697A"/>
    <w:rsid w:val="569051D3"/>
    <w:rsid w:val="56C90CC6"/>
    <w:rsid w:val="578E5585"/>
    <w:rsid w:val="57F57CDB"/>
    <w:rsid w:val="580C3661"/>
    <w:rsid w:val="58543DBF"/>
    <w:rsid w:val="59EC7501"/>
    <w:rsid w:val="5A1A5534"/>
    <w:rsid w:val="5BBF5717"/>
    <w:rsid w:val="5E246717"/>
    <w:rsid w:val="5E467B12"/>
    <w:rsid w:val="5E872AA3"/>
    <w:rsid w:val="5EA462FD"/>
    <w:rsid w:val="5F1C44A0"/>
    <w:rsid w:val="5F2B0EFE"/>
    <w:rsid w:val="5FAB4E04"/>
    <w:rsid w:val="603856A7"/>
    <w:rsid w:val="629E426C"/>
    <w:rsid w:val="634E4F7A"/>
    <w:rsid w:val="63B32720"/>
    <w:rsid w:val="64037F21"/>
    <w:rsid w:val="667322A4"/>
    <w:rsid w:val="689B04B9"/>
    <w:rsid w:val="68BC0D78"/>
    <w:rsid w:val="69F71B66"/>
    <w:rsid w:val="6A0419D1"/>
    <w:rsid w:val="6AA12EFD"/>
    <w:rsid w:val="6D290723"/>
    <w:rsid w:val="6D442969"/>
    <w:rsid w:val="6DE10D32"/>
    <w:rsid w:val="6EB321F3"/>
    <w:rsid w:val="6ECD554C"/>
    <w:rsid w:val="6FD07E30"/>
    <w:rsid w:val="6FE47D2B"/>
    <w:rsid w:val="7000585A"/>
    <w:rsid w:val="7001594E"/>
    <w:rsid w:val="74A67C70"/>
    <w:rsid w:val="773A1566"/>
    <w:rsid w:val="793745E2"/>
    <w:rsid w:val="79F160BD"/>
    <w:rsid w:val="7D802FD6"/>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2"/>
    <w:qFormat/>
    <w:uiPriority w:val="0"/>
    <w:pPr>
      <w:keepNext/>
      <w:keepLines/>
      <w:autoSpaceDN w:val="0"/>
      <w:adjustRightInd w:val="0"/>
      <w:snapToGrid w:val="0"/>
      <w:jc w:val="center"/>
      <w:outlineLvl w:val="0"/>
    </w:pPr>
    <w:rPr>
      <w:rFonts w:eastAsia="楷体_GB2312"/>
      <w:b/>
      <w:bCs/>
      <w:kern w:val="44"/>
      <w:sz w:val="36"/>
      <w:szCs w:val="36"/>
    </w:rPr>
  </w:style>
  <w:style w:type="paragraph" w:styleId="3">
    <w:name w:val="heading 2"/>
    <w:basedOn w:val="1"/>
    <w:next w:val="1"/>
    <w:link w:val="147"/>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48"/>
    <w:semiHidden/>
    <w:unhideWhenUsed/>
    <w:qFormat/>
    <w:uiPriority w:val="0"/>
    <w:pPr>
      <w:keepNext/>
      <w:keepLines/>
      <w:spacing w:before="260" w:after="260" w:line="416" w:lineRule="auto"/>
      <w:outlineLvl w:val="2"/>
    </w:pPr>
    <w:rPr>
      <w:b/>
      <w:bCs/>
      <w:sz w:val="32"/>
      <w:szCs w:val="32"/>
    </w:rPr>
  </w:style>
  <w:style w:type="character" w:default="1" w:styleId="38">
    <w:name w:val="Default Paragraph Font"/>
    <w:semiHidden/>
    <w:unhideWhenUsed/>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Normal Indent"/>
    <w:basedOn w:val="1"/>
    <w:qFormat/>
    <w:uiPriority w:val="0"/>
    <w:pPr>
      <w:adjustRightInd w:val="0"/>
      <w:spacing w:line="420" w:lineRule="atLeast"/>
      <w:ind w:firstLine="420"/>
      <w:textAlignment w:val="baseline"/>
    </w:pPr>
    <w:rPr>
      <w:rFonts w:ascii="仿宋体" w:eastAsia="仿宋体"/>
      <w:kern w:val="0"/>
      <w:sz w:val="28"/>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semiHidden/>
    <w:qFormat/>
    <w:uiPriority w:val="0"/>
    <w:pPr>
      <w:shd w:val="clear" w:color="auto" w:fill="000080"/>
    </w:pPr>
  </w:style>
  <w:style w:type="paragraph" w:styleId="11">
    <w:name w:val="annotation text"/>
    <w:basedOn w:val="1"/>
    <w:link w:val="145"/>
    <w:qFormat/>
    <w:uiPriority w:val="0"/>
    <w:pPr>
      <w:jc w:val="left"/>
    </w:pPr>
  </w:style>
  <w:style w:type="paragraph" w:styleId="12">
    <w:name w:val="index 6"/>
    <w:basedOn w:val="1"/>
    <w:next w:val="1"/>
    <w:qFormat/>
    <w:uiPriority w:val="0"/>
    <w:pPr>
      <w:ind w:left="1260" w:hanging="210"/>
      <w:jc w:val="left"/>
    </w:pPr>
    <w:rPr>
      <w:rFonts w:ascii="Calibri" w:hAnsi="Calibri"/>
      <w:sz w:val="20"/>
      <w:szCs w:val="20"/>
    </w:rPr>
  </w:style>
  <w:style w:type="paragraph" w:styleId="13">
    <w:name w:val="index 4"/>
    <w:basedOn w:val="1"/>
    <w:next w:val="1"/>
    <w:qFormat/>
    <w:uiPriority w:val="0"/>
    <w:pPr>
      <w:ind w:left="840" w:hanging="210"/>
      <w:jc w:val="left"/>
    </w:pPr>
    <w:rPr>
      <w:rFonts w:ascii="Calibri" w:hAnsi="Calibri"/>
      <w:sz w:val="20"/>
      <w:szCs w:val="20"/>
    </w:rPr>
  </w:style>
  <w:style w:type="paragraph" w:styleId="14">
    <w:name w:val="toc 5"/>
    <w:basedOn w:val="1"/>
    <w:next w:val="1"/>
    <w:semiHidden/>
    <w:qFormat/>
    <w:uiPriority w:val="0"/>
    <w:pPr>
      <w:tabs>
        <w:tab w:val="right" w:leader="dot" w:pos="9241"/>
      </w:tabs>
      <w:ind w:firstLine="300" w:firstLineChars="300"/>
      <w:jc w:val="left"/>
    </w:pPr>
    <w:rPr>
      <w:rFonts w:ascii="宋体"/>
      <w:szCs w:val="21"/>
    </w:rPr>
  </w:style>
  <w:style w:type="paragraph" w:styleId="15">
    <w:name w:val="toc 3"/>
    <w:basedOn w:val="1"/>
    <w:next w:val="1"/>
    <w:qFormat/>
    <w:uiPriority w:val="39"/>
    <w:pPr>
      <w:tabs>
        <w:tab w:val="right" w:leader="dot" w:pos="9241"/>
      </w:tabs>
      <w:ind w:firstLine="102" w:firstLineChars="100"/>
      <w:jc w:val="left"/>
    </w:pPr>
    <w:rPr>
      <w:rFonts w:ascii="宋体"/>
      <w:szCs w:val="21"/>
    </w:rPr>
  </w:style>
  <w:style w:type="paragraph" w:styleId="16">
    <w:name w:val="toc 8"/>
    <w:basedOn w:val="1"/>
    <w:next w:val="1"/>
    <w:semiHidden/>
    <w:qFormat/>
    <w:uiPriority w:val="0"/>
    <w:pPr>
      <w:tabs>
        <w:tab w:val="right" w:leader="dot" w:pos="9241"/>
      </w:tabs>
      <w:ind w:firstLine="607" w:firstLineChars="600"/>
      <w:jc w:val="left"/>
    </w:pPr>
    <w:rPr>
      <w:rFonts w:ascii="宋体"/>
      <w:szCs w:val="21"/>
    </w:rPr>
  </w:style>
  <w:style w:type="paragraph" w:styleId="17">
    <w:name w:val="index 3"/>
    <w:basedOn w:val="1"/>
    <w:next w:val="1"/>
    <w:qFormat/>
    <w:uiPriority w:val="0"/>
    <w:pPr>
      <w:ind w:left="630" w:hanging="210"/>
      <w:jc w:val="left"/>
    </w:pPr>
    <w:rPr>
      <w:rFonts w:ascii="Calibri" w:hAnsi="Calibri"/>
      <w:sz w:val="20"/>
      <w:szCs w:val="20"/>
    </w:rPr>
  </w:style>
  <w:style w:type="paragraph" w:styleId="18">
    <w:name w:val="Date"/>
    <w:basedOn w:val="1"/>
    <w:next w:val="1"/>
    <w:link w:val="153"/>
    <w:qFormat/>
    <w:uiPriority w:val="0"/>
    <w:pPr>
      <w:ind w:left="100" w:leftChars="2500"/>
    </w:pPr>
  </w:style>
  <w:style w:type="paragraph" w:styleId="19">
    <w:name w:val="endnote text"/>
    <w:basedOn w:val="1"/>
    <w:semiHidden/>
    <w:qFormat/>
    <w:uiPriority w:val="0"/>
    <w:pPr>
      <w:snapToGrid w:val="0"/>
      <w:jc w:val="left"/>
    </w:pPr>
  </w:style>
  <w:style w:type="paragraph" w:styleId="20">
    <w:name w:val="Balloon Text"/>
    <w:basedOn w:val="1"/>
    <w:link w:val="144"/>
    <w:semiHidden/>
    <w:unhideWhenUsed/>
    <w:qFormat/>
    <w:uiPriority w:val="0"/>
    <w:rPr>
      <w:rFonts w:ascii="宋体"/>
      <w:sz w:val="18"/>
      <w:szCs w:val="18"/>
    </w:rPr>
  </w:style>
  <w:style w:type="paragraph" w:styleId="21">
    <w:name w:val="footer"/>
    <w:basedOn w:val="1"/>
    <w:qFormat/>
    <w:uiPriority w:val="0"/>
    <w:pPr>
      <w:snapToGrid w:val="0"/>
      <w:ind w:right="210" w:rightChars="100"/>
      <w:jc w:val="right"/>
    </w:pPr>
    <w:rPr>
      <w:sz w:val="18"/>
      <w:szCs w:val="18"/>
    </w:rPr>
  </w:style>
  <w:style w:type="paragraph" w:styleId="22">
    <w:name w:val="header"/>
    <w:basedOn w:val="1"/>
    <w:qFormat/>
    <w:uiPriority w:val="0"/>
    <w:pPr>
      <w:snapToGrid w:val="0"/>
      <w:jc w:val="left"/>
    </w:pPr>
    <w:rPr>
      <w:sz w:val="18"/>
      <w:szCs w:val="18"/>
    </w:rPr>
  </w:style>
  <w:style w:type="paragraph" w:styleId="23">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4">
    <w:name w:val="toc 4"/>
    <w:basedOn w:val="1"/>
    <w:next w:val="1"/>
    <w:semiHidden/>
    <w:qFormat/>
    <w:uiPriority w:val="0"/>
    <w:pPr>
      <w:tabs>
        <w:tab w:val="right" w:leader="dot" w:pos="9241"/>
      </w:tabs>
      <w:ind w:firstLine="198" w:firstLineChars="200"/>
      <w:jc w:val="left"/>
    </w:pPr>
    <w:rPr>
      <w:rFonts w:ascii="宋体"/>
      <w:szCs w:val="21"/>
    </w:rPr>
  </w:style>
  <w:style w:type="paragraph" w:styleId="25">
    <w:name w:val="index heading"/>
    <w:basedOn w:val="1"/>
    <w:next w:val="26"/>
    <w:qFormat/>
    <w:uiPriority w:val="0"/>
    <w:pPr>
      <w:spacing w:before="120" w:after="120"/>
      <w:jc w:val="center"/>
    </w:pPr>
    <w:rPr>
      <w:rFonts w:ascii="Calibri" w:hAnsi="Calibri"/>
      <w:b/>
      <w:bCs/>
      <w:iCs/>
      <w:szCs w:val="20"/>
    </w:rPr>
  </w:style>
  <w:style w:type="paragraph" w:styleId="26">
    <w:name w:val="index 1"/>
    <w:basedOn w:val="1"/>
    <w:next w:val="27"/>
    <w:qFormat/>
    <w:uiPriority w:val="0"/>
    <w:pPr>
      <w:tabs>
        <w:tab w:val="right" w:leader="dot" w:pos="9299"/>
      </w:tabs>
      <w:jc w:val="left"/>
    </w:pPr>
    <w:rPr>
      <w:rFonts w:ascii="宋体"/>
      <w:szCs w:val="21"/>
    </w:rPr>
  </w:style>
  <w:style w:type="paragraph" w:customStyle="1" w:styleId="27">
    <w:name w:val="段"/>
    <w:link w:val="4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8">
    <w:name w:val="footnote text"/>
    <w:basedOn w:val="1"/>
    <w:qFormat/>
    <w:uiPriority w:val="0"/>
    <w:pPr>
      <w:numPr>
        <w:ilvl w:val="0"/>
        <w:numId w:val="1"/>
      </w:numPr>
      <w:snapToGrid w:val="0"/>
      <w:jc w:val="left"/>
    </w:pPr>
    <w:rPr>
      <w:rFonts w:ascii="宋体"/>
      <w:sz w:val="18"/>
      <w:szCs w:val="18"/>
    </w:rPr>
  </w:style>
  <w:style w:type="paragraph" w:styleId="29">
    <w:name w:val="toc 6"/>
    <w:basedOn w:val="1"/>
    <w:next w:val="1"/>
    <w:semiHidden/>
    <w:qFormat/>
    <w:uiPriority w:val="0"/>
    <w:pPr>
      <w:tabs>
        <w:tab w:val="right" w:leader="dot" w:pos="9241"/>
      </w:tabs>
      <w:ind w:firstLine="403" w:firstLineChars="400"/>
      <w:jc w:val="left"/>
    </w:pPr>
    <w:rPr>
      <w:rFonts w:ascii="宋体"/>
      <w:szCs w:val="21"/>
    </w:rPr>
  </w:style>
  <w:style w:type="paragraph" w:styleId="30">
    <w:name w:val="index 7"/>
    <w:basedOn w:val="1"/>
    <w:next w:val="1"/>
    <w:qFormat/>
    <w:uiPriority w:val="0"/>
    <w:pPr>
      <w:ind w:left="1470" w:hanging="210"/>
      <w:jc w:val="left"/>
    </w:pPr>
    <w:rPr>
      <w:rFonts w:ascii="Calibri" w:hAnsi="Calibri"/>
      <w:sz w:val="20"/>
      <w:szCs w:val="20"/>
    </w:rPr>
  </w:style>
  <w:style w:type="paragraph" w:styleId="31">
    <w:name w:val="index 9"/>
    <w:basedOn w:val="1"/>
    <w:next w:val="1"/>
    <w:qFormat/>
    <w:uiPriority w:val="0"/>
    <w:pPr>
      <w:ind w:left="1890" w:hanging="210"/>
      <w:jc w:val="left"/>
    </w:pPr>
    <w:rPr>
      <w:rFonts w:ascii="Calibri" w:hAnsi="Calibri"/>
      <w:sz w:val="20"/>
      <w:szCs w:val="20"/>
    </w:rPr>
  </w:style>
  <w:style w:type="paragraph" w:styleId="32">
    <w:name w:val="toc 2"/>
    <w:basedOn w:val="1"/>
    <w:next w:val="1"/>
    <w:qFormat/>
    <w:uiPriority w:val="39"/>
    <w:pPr>
      <w:tabs>
        <w:tab w:val="right" w:leader="dot" w:pos="9241"/>
      </w:tabs>
    </w:pPr>
    <w:rPr>
      <w:rFonts w:ascii="宋体"/>
      <w:szCs w:val="21"/>
    </w:rPr>
  </w:style>
  <w:style w:type="paragraph" w:styleId="33">
    <w:name w:val="toc 9"/>
    <w:basedOn w:val="1"/>
    <w:next w:val="1"/>
    <w:semiHidden/>
    <w:qFormat/>
    <w:uiPriority w:val="0"/>
    <w:pPr>
      <w:ind w:left="1470"/>
      <w:jc w:val="left"/>
    </w:pPr>
    <w:rPr>
      <w:sz w:val="20"/>
      <w:szCs w:val="20"/>
    </w:rPr>
  </w:style>
  <w:style w:type="paragraph" w:styleId="34">
    <w:name w:val="index 2"/>
    <w:basedOn w:val="1"/>
    <w:next w:val="1"/>
    <w:qFormat/>
    <w:uiPriority w:val="0"/>
    <w:pPr>
      <w:ind w:left="420" w:hanging="210"/>
      <w:jc w:val="left"/>
    </w:pPr>
    <w:rPr>
      <w:rFonts w:ascii="Calibri" w:hAnsi="Calibri"/>
      <w:sz w:val="20"/>
      <w:szCs w:val="20"/>
    </w:rPr>
  </w:style>
  <w:style w:type="paragraph" w:styleId="35">
    <w:name w:val="annotation subject"/>
    <w:basedOn w:val="11"/>
    <w:next w:val="11"/>
    <w:link w:val="150"/>
    <w:semiHidden/>
    <w:unhideWhenUsed/>
    <w:qFormat/>
    <w:uiPriority w:val="0"/>
    <w:pPr>
      <w:jc w:val="both"/>
    </w:pPr>
    <w:rPr>
      <w:b/>
      <w:bCs/>
      <w:sz w:val="20"/>
      <w:szCs w:val="20"/>
    </w:rPr>
  </w:style>
  <w:style w:type="table" w:styleId="37">
    <w:name w:val="Table Grid"/>
    <w:basedOn w:val="36"/>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endnote reference"/>
    <w:basedOn w:val="38"/>
    <w:semiHidden/>
    <w:qFormat/>
    <w:uiPriority w:val="0"/>
    <w:rPr>
      <w:vertAlign w:val="superscript"/>
    </w:rPr>
  </w:style>
  <w:style w:type="character" w:styleId="40">
    <w:name w:val="page number"/>
    <w:basedOn w:val="38"/>
    <w:qFormat/>
    <w:uiPriority w:val="0"/>
    <w:rPr>
      <w:rFonts w:ascii="Times New Roman" w:hAnsi="Times New Roman" w:eastAsia="宋体"/>
      <w:sz w:val="18"/>
    </w:rPr>
  </w:style>
  <w:style w:type="character" w:styleId="41">
    <w:name w:val="Hyperlink"/>
    <w:basedOn w:val="38"/>
    <w:qFormat/>
    <w:uiPriority w:val="99"/>
    <w:rPr>
      <w:color w:val="0000FF"/>
      <w:spacing w:val="0"/>
      <w:w w:val="100"/>
      <w:szCs w:val="21"/>
      <w:u w:val="single"/>
    </w:rPr>
  </w:style>
  <w:style w:type="character" w:styleId="42">
    <w:name w:val="annotation reference"/>
    <w:basedOn w:val="38"/>
    <w:qFormat/>
    <w:uiPriority w:val="0"/>
    <w:rPr>
      <w:sz w:val="21"/>
      <w:szCs w:val="21"/>
    </w:rPr>
  </w:style>
  <w:style w:type="character" w:styleId="43">
    <w:name w:val="footnote reference"/>
    <w:basedOn w:val="38"/>
    <w:semiHidden/>
    <w:qFormat/>
    <w:uiPriority w:val="0"/>
    <w:rPr>
      <w:vertAlign w:val="superscript"/>
    </w:rPr>
  </w:style>
  <w:style w:type="character" w:customStyle="1" w:styleId="44">
    <w:name w:val="段 Char"/>
    <w:basedOn w:val="38"/>
    <w:link w:val="27"/>
    <w:qFormat/>
    <w:uiPriority w:val="0"/>
    <w:rPr>
      <w:rFonts w:ascii="宋体"/>
      <w:sz w:val="21"/>
      <w:lang w:val="en-US" w:eastAsia="zh-CN" w:bidi="ar-SA"/>
    </w:rPr>
  </w:style>
  <w:style w:type="paragraph" w:customStyle="1" w:styleId="45">
    <w:name w:val="一级条标题"/>
    <w:next w:val="27"/>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8">
    <w:name w:val="章标题"/>
    <w:next w:val="27"/>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9">
    <w:name w:val="二级条标题"/>
    <w:basedOn w:val="45"/>
    <w:next w:val="27"/>
    <w:qFormat/>
    <w:uiPriority w:val="0"/>
    <w:pPr>
      <w:numPr>
        <w:ilvl w:val="2"/>
      </w:numPr>
      <w:spacing w:before="50" w:after="50"/>
      <w:outlineLvl w:val="3"/>
    </w:pPr>
  </w:style>
  <w:style w:type="paragraph" w:customStyle="1" w:styleId="5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1">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2">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3">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4">
    <w:name w:val="三级条标题"/>
    <w:basedOn w:val="49"/>
    <w:next w:val="27"/>
    <w:qFormat/>
    <w:uiPriority w:val="0"/>
    <w:pPr>
      <w:numPr>
        <w:ilvl w:val="3"/>
      </w:numPr>
      <w:outlineLvl w:val="4"/>
    </w:pPr>
  </w:style>
  <w:style w:type="paragraph" w:customStyle="1" w:styleId="55">
    <w:name w:val="示例"/>
    <w:next w:val="56"/>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7">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8">
    <w:name w:val="四级条标题"/>
    <w:basedOn w:val="54"/>
    <w:next w:val="27"/>
    <w:qFormat/>
    <w:uiPriority w:val="0"/>
    <w:pPr>
      <w:numPr>
        <w:ilvl w:val="4"/>
      </w:numPr>
      <w:outlineLvl w:val="5"/>
    </w:pPr>
  </w:style>
  <w:style w:type="paragraph" w:customStyle="1" w:styleId="59">
    <w:name w:val="五级条标题"/>
    <w:basedOn w:val="58"/>
    <w:next w:val="27"/>
    <w:qFormat/>
    <w:uiPriority w:val="0"/>
    <w:pPr>
      <w:numPr>
        <w:ilvl w:val="5"/>
      </w:numPr>
      <w:outlineLvl w:val="6"/>
    </w:pPr>
  </w:style>
  <w:style w:type="paragraph" w:customStyle="1" w:styleId="60">
    <w:name w:val="注："/>
    <w:next w:val="27"/>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1">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2">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3">
    <w:name w:val="列项◆（三级）"/>
    <w:basedOn w:val="1"/>
    <w:qFormat/>
    <w:uiPriority w:val="0"/>
    <w:pPr>
      <w:numPr>
        <w:ilvl w:val="2"/>
        <w:numId w:val="3"/>
      </w:numPr>
    </w:pPr>
    <w:rPr>
      <w:rFonts w:ascii="宋体"/>
      <w:szCs w:val="21"/>
    </w:rPr>
  </w:style>
  <w:style w:type="paragraph" w:customStyle="1" w:styleId="64">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5">
    <w:name w:val="示例×："/>
    <w:basedOn w:val="48"/>
    <w:qFormat/>
    <w:uiPriority w:val="0"/>
    <w:pPr>
      <w:numPr>
        <w:numId w:val="8"/>
      </w:numPr>
      <w:spacing w:before="0" w:beforeLines="0" w:after="0" w:afterLines="0"/>
      <w:outlineLvl w:val="9"/>
    </w:pPr>
    <w:rPr>
      <w:rFonts w:ascii="宋体" w:eastAsia="宋体"/>
      <w:sz w:val="18"/>
      <w:szCs w:val="18"/>
    </w:rPr>
  </w:style>
  <w:style w:type="paragraph" w:customStyle="1" w:styleId="66">
    <w:name w:val="二级无"/>
    <w:basedOn w:val="49"/>
    <w:qFormat/>
    <w:uiPriority w:val="0"/>
    <w:pPr>
      <w:spacing w:before="0" w:beforeLines="0" w:after="0" w:afterLines="0"/>
    </w:pPr>
    <w:rPr>
      <w:rFonts w:ascii="宋体" w:eastAsia="宋体"/>
    </w:rPr>
  </w:style>
  <w:style w:type="paragraph" w:customStyle="1" w:styleId="67">
    <w:name w:val="注：（正文）"/>
    <w:basedOn w:val="60"/>
    <w:next w:val="27"/>
    <w:qFormat/>
    <w:uiPriority w:val="0"/>
  </w:style>
  <w:style w:type="paragraph" w:customStyle="1" w:styleId="68">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0">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2">
    <w:name w:val="标准书眉_偶数页"/>
    <w:basedOn w:val="47"/>
    <w:next w:val="1"/>
    <w:qFormat/>
    <w:uiPriority w:val="0"/>
    <w:pPr>
      <w:jc w:val="left"/>
    </w:pPr>
  </w:style>
  <w:style w:type="paragraph" w:customStyle="1" w:styleId="73">
    <w:name w:val="标准书眉一"/>
    <w:qFormat/>
    <w:uiPriority w:val="0"/>
    <w:pPr>
      <w:jc w:val="both"/>
    </w:pPr>
    <w:rPr>
      <w:rFonts w:ascii="Times New Roman" w:hAnsi="Times New Roman" w:eastAsia="宋体" w:cs="Times New Roman"/>
      <w:lang w:val="en-US" w:eastAsia="zh-CN" w:bidi="ar-SA"/>
    </w:rPr>
  </w:style>
  <w:style w:type="paragraph" w:customStyle="1" w:styleId="74">
    <w:name w:val="参考文献"/>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5">
    <w:name w:val="参考文献、索引标题"/>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6">
    <w:name w:val="发布"/>
    <w:basedOn w:val="38"/>
    <w:qFormat/>
    <w:uiPriority w:val="0"/>
    <w:rPr>
      <w:rFonts w:ascii="黑体" w:eastAsia="黑体"/>
      <w:spacing w:val="85"/>
      <w:w w:val="100"/>
      <w:position w:val="3"/>
      <w:sz w:val="28"/>
      <w:szCs w:val="28"/>
    </w:rPr>
  </w:style>
  <w:style w:type="paragraph" w:customStyle="1" w:styleId="77">
    <w:name w:val="发布部门"/>
    <w:next w:val="2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2">
    <w:name w:val="封面标准英文名称"/>
    <w:basedOn w:val="81"/>
    <w:qFormat/>
    <w:uiPriority w:val="0"/>
    <w:pPr>
      <w:framePr w:wrap="around"/>
      <w:spacing w:before="370" w:line="400" w:lineRule="exact"/>
    </w:pPr>
    <w:rPr>
      <w:rFonts w:ascii="Times New Roman"/>
      <w:sz w:val="28"/>
      <w:szCs w:val="28"/>
    </w:rPr>
  </w:style>
  <w:style w:type="paragraph" w:customStyle="1" w:styleId="83">
    <w:name w:val="封面一致性程度标识"/>
    <w:basedOn w:val="82"/>
    <w:qFormat/>
    <w:uiPriority w:val="0"/>
    <w:pPr>
      <w:framePr w:wrap="around"/>
      <w:spacing w:before="440"/>
    </w:pPr>
    <w:rPr>
      <w:rFonts w:ascii="宋体" w:eastAsia="宋体"/>
    </w:rPr>
  </w:style>
  <w:style w:type="paragraph" w:customStyle="1" w:styleId="84">
    <w:name w:val="封面标准文稿类别"/>
    <w:basedOn w:val="83"/>
    <w:qFormat/>
    <w:uiPriority w:val="0"/>
    <w:pPr>
      <w:framePr w:wrap="around"/>
      <w:spacing w:after="160" w:line="240" w:lineRule="auto"/>
    </w:pPr>
    <w:rPr>
      <w:sz w:val="24"/>
    </w:rPr>
  </w:style>
  <w:style w:type="paragraph" w:customStyle="1" w:styleId="85">
    <w:name w:val="封面标准文稿编辑信息"/>
    <w:basedOn w:val="84"/>
    <w:qFormat/>
    <w:uiPriority w:val="0"/>
    <w:pPr>
      <w:framePr w:wrap="around"/>
      <w:spacing w:before="180" w:line="180" w:lineRule="exact"/>
    </w:pPr>
    <w:rPr>
      <w:sz w:val="21"/>
    </w:rPr>
  </w:style>
  <w:style w:type="paragraph" w:customStyle="1" w:styleId="86">
    <w:name w:val="封面正文"/>
    <w:qFormat/>
    <w:uiPriority w:val="0"/>
    <w:pPr>
      <w:jc w:val="both"/>
    </w:pPr>
    <w:rPr>
      <w:rFonts w:ascii="Times New Roman" w:hAnsi="Times New Roman" w:eastAsia="宋体" w:cs="Times New Roman"/>
      <w:lang w:val="en-US" w:eastAsia="zh-CN" w:bidi="ar-SA"/>
    </w:rPr>
  </w:style>
  <w:style w:type="paragraph" w:customStyle="1" w:styleId="87">
    <w:name w:val="附录标识"/>
    <w:basedOn w:val="1"/>
    <w:next w:val="27"/>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8">
    <w:name w:val="附录标题"/>
    <w:basedOn w:val="27"/>
    <w:next w:val="27"/>
    <w:qFormat/>
    <w:uiPriority w:val="0"/>
    <w:pPr>
      <w:ind w:firstLine="0" w:firstLineChars="0"/>
      <w:jc w:val="center"/>
    </w:pPr>
    <w:rPr>
      <w:rFonts w:ascii="黑体" w:eastAsia="黑体"/>
    </w:rPr>
  </w:style>
  <w:style w:type="paragraph" w:customStyle="1" w:styleId="89">
    <w:name w:val="附录表标号"/>
    <w:basedOn w:val="1"/>
    <w:next w:val="27"/>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90">
    <w:name w:val="附录表标题"/>
    <w:basedOn w:val="1"/>
    <w:next w:val="27"/>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91">
    <w:name w:val="附录二级条标题"/>
    <w:basedOn w:val="1"/>
    <w:next w:val="27"/>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2">
    <w:name w:val="附录二级无"/>
    <w:basedOn w:val="91"/>
    <w:qFormat/>
    <w:uiPriority w:val="0"/>
    <w:pPr>
      <w:tabs>
        <w:tab w:val="clear" w:pos="360"/>
      </w:tabs>
      <w:spacing w:before="0" w:beforeLines="0" w:after="0" w:afterLines="0"/>
    </w:pPr>
    <w:rPr>
      <w:rFonts w:ascii="宋体" w:eastAsia="宋体"/>
      <w:szCs w:val="21"/>
    </w:rPr>
  </w:style>
  <w:style w:type="paragraph" w:customStyle="1" w:styleId="93">
    <w:name w:val="附录公式"/>
    <w:basedOn w:val="27"/>
    <w:next w:val="27"/>
    <w:link w:val="94"/>
    <w:qFormat/>
    <w:uiPriority w:val="0"/>
  </w:style>
  <w:style w:type="character" w:customStyle="1" w:styleId="94">
    <w:name w:val="附录公式 Char"/>
    <w:basedOn w:val="44"/>
    <w:link w:val="93"/>
    <w:qFormat/>
    <w:uiPriority w:val="0"/>
    <w:rPr>
      <w:rFonts w:ascii="宋体"/>
      <w:sz w:val="21"/>
      <w:lang w:val="en-US" w:eastAsia="zh-CN" w:bidi="ar-SA"/>
    </w:rPr>
  </w:style>
  <w:style w:type="paragraph" w:customStyle="1" w:styleId="95">
    <w:name w:val="附录公式编号制表符"/>
    <w:basedOn w:val="1"/>
    <w:next w:val="27"/>
    <w:qFormat/>
    <w:uiPriority w:val="0"/>
    <w:pPr>
      <w:widowControl/>
      <w:tabs>
        <w:tab w:val="center" w:pos="4201"/>
        <w:tab w:val="right" w:leader="dot" w:pos="9298"/>
      </w:tabs>
      <w:autoSpaceDE w:val="0"/>
      <w:autoSpaceDN w:val="0"/>
    </w:pPr>
    <w:rPr>
      <w:rFonts w:ascii="宋体"/>
      <w:kern w:val="0"/>
      <w:szCs w:val="20"/>
    </w:rPr>
  </w:style>
  <w:style w:type="paragraph" w:customStyle="1" w:styleId="96">
    <w:name w:val="附录三级条标题"/>
    <w:basedOn w:val="91"/>
    <w:next w:val="27"/>
    <w:qFormat/>
    <w:uiPriority w:val="0"/>
    <w:pPr>
      <w:numPr>
        <w:ilvl w:val="4"/>
      </w:numPr>
      <w:outlineLvl w:val="4"/>
    </w:pPr>
  </w:style>
  <w:style w:type="paragraph" w:customStyle="1" w:styleId="97">
    <w:name w:val="附录三级无"/>
    <w:basedOn w:val="96"/>
    <w:qFormat/>
    <w:uiPriority w:val="0"/>
    <w:pPr>
      <w:tabs>
        <w:tab w:val="clear" w:pos="360"/>
      </w:tabs>
      <w:spacing w:before="0" w:beforeLines="0" w:after="0" w:afterLines="0"/>
    </w:pPr>
    <w:rPr>
      <w:rFonts w:ascii="宋体" w:eastAsia="宋体"/>
      <w:szCs w:val="21"/>
    </w:rPr>
  </w:style>
  <w:style w:type="paragraph" w:customStyle="1" w:styleId="98">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9">
    <w:name w:val="附录四级条标题"/>
    <w:basedOn w:val="96"/>
    <w:next w:val="27"/>
    <w:qFormat/>
    <w:uiPriority w:val="0"/>
    <w:pPr>
      <w:numPr>
        <w:ilvl w:val="5"/>
      </w:numPr>
      <w:outlineLvl w:val="5"/>
    </w:pPr>
  </w:style>
  <w:style w:type="paragraph" w:customStyle="1" w:styleId="100">
    <w:name w:val="附录四级无"/>
    <w:basedOn w:val="99"/>
    <w:qFormat/>
    <w:uiPriority w:val="0"/>
    <w:pPr>
      <w:tabs>
        <w:tab w:val="clear" w:pos="360"/>
      </w:tabs>
      <w:spacing w:before="0" w:beforeLines="0" w:after="0" w:afterLines="0"/>
    </w:pPr>
    <w:rPr>
      <w:rFonts w:ascii="宋体" w:eastAsia="宋体"/>
      <w:szCs w:val="21"/>
    </w:rPr>
  </w:style>
  <w:style w:type="paragraph" w:customStyle="1" w:styleId="101">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2">
    <w:name w:val="附录图标题"/>
    <w:basedOn w:val="1"/>
    <w:next w:val="27"/>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3">
    <w:name w:val="附录五级条标题"/>
    <w:basedOn w:val="99"/>
    <w:next w:val="27"/>
    <w:qFormat/>
    <w:uiPriority w:val="0"/>
    <w:pPr>
      <w:numPr>
        <w:ilvl w:val="6"/>
      </w:numPr>
      <w:outlineLvl w:val="6"/>
    </w:pPr>
  </w:style>
  <w:style w:type="paragraph" w:customStyle="1" w:styleId="104">
    <w:name w:val="附录五级无"/>
    <w:basedOn w:val="103"/>
    <w:qFormat/>
    <w:uiPriority w:val="0"/>
    <w:pPr>
      <w:tabs>
        <w:tab w:val="clear" w:pos="360"/>
      </w:tabs>
      <w:spacing w:before="0" w:beforeLines="0" w:after="0" w:afterLines="0"/>
    </w:pPr>
    <w:rPr>
      <w:rFonts w:ascii="宋体" w:eastAsia="宋体"/>
      <w:szCs w:val="21"/>
    </w:rPr>
  </w:style>
  <w:style w:type="paragraph" w:customStyle="1" w:styleId="105">
    <w:name w:val="附录章标题"/>
    <w:next w:val="27"/>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6">
    <w:name w:val="附录一级条标题"/>
    <w:basedOn w:val="105"/>
    <w:next w:val="27"/>
    <w:qFormat/>
    <w:uiPriority w:val="0"/>
    <w:pPr>
      <w:numPr>
        <w:ilvl w:val="2"/>
      </w:numPr>
      <w:autoSpaceDN w:val="0"/>
      <w:spacing w:before="50" w:beforeLines="50" w:after="50" w:afterLines="50"/>
      <w:outlineLvl w:val="2"/>
    </w:pPr>
  </w:style>
  <w:style w:type="paragraph" w:customStyle="1" w:styleId="107">
    <w:name w:val="附录一级无"/>
    <w:basedOn w:val="106"/>
    <w:qFormat/>
    <w:uiPriority w:val="0"/>
    <w:pPr>
      <w:tabs>
        <w:tab w:val="clear" w:pos="360"/>
      </w:tabs>
      <w:spacing w:before="0" w:beforeLines="0" w:after="0" w:afterLines="0"/>
    </w:pPr>
    <w:rPr>
      <w:rFonts w:ascii="宋体" w:eastAsia="宋体"/>
      <w:szCs w:val="21"/>
    </w:rPr>
  </w:style>
  <w:style w:type="paragraph" w:customStyle="1" w:styleId="108">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2">
    <w:name w:val="其他标准标志"/>
    <w:basedOn w:val="69"/>
    <w:qFormat/>
    <w:uiPriority w:val="0"/>
    <w:pPr>
      <w:framePr w:w="6101" w:wrap="around" w:vAnchor="page" w:hAnchor="page" w:x="4673" w:y="942"/>
    </w:pPr>
    <w:rPr>
      <w:w w:val="130"/>
    </w:rPr>
  </w:style>
  <w:style w:type="paragraph" w:customStyle="1" w:styleId="11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4">
    <w:name w:val="其他发布部门"/>
    <w:basedOn w:val="77"/>
    <w:qFormat/>
    <w:uiPriority w:val="0"/>
    <w:pPr>
      <w:framePr w:wrap="around" w:y="15310"/>
      <w:spacing w:line="0" w:lineRule="atLeast"/>
    </w:pPr>
    <w:rPr>
      <w:rFonts w:ascii="黑体" w:eastAsia="黑体"/>
      <w:b w:val="0"/>
    </w:rPr>
  </w:style>
  <w:style w:type="paragraph" w:customStyle="1" w:styleId="115">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6">
    <w:name w:val="三级无"/>
    <w:basedOn w:val="54"/>
    <w:qFormat/>
    <w:uiPriority w:val="0"/>
    <w:pPr>
      <w:spacing w:before="0" w:beforeLines="0" w:after="0" w:afterLines="0"/>
    </w:pPr>
    <w:rPr>
      <w:rFonts w:ascii="宋体" w:eastAsia="宋体"/>
    </w:rPr>
  </w:style>
  <w:style w:type="paragraph" w:customStyle="1" w:styleId="117">
    <w:name w:val="实施日期"/>
    <w:basedOn w:val="78"/>
    <w:qFormat/>
    <w:uiPriority w:val="0"/>
    <w:pPr>
      <w:framePr w:wrap="around" w:vAnchor="page" w:hAnchor="text"/>
      <w:jc w:val="right"/>
    </w:pPr>
  </w:style>
  <w:style w:type="paragraph" w:customStyle="1" w:styleId="118">
    <w:name w:val="示例后文字"/>
    <w:basedOn w:val="27"/>
    <w:next w:val="27"/>
    <w:qFormat/>
    <w:uiPriority w:val="0"/>
    <w:pPr>
      <w:ind w:firstLine="360"/>
    </w:pPr>
    <w:rPr>
      <w:sz w:val="18"/>
    </w:rPr>
  </w:style>
  <w:style w:type="paragraph" w:customStyle="1" w:styleId="119">
    <w:name w:val="首示例"/>
    <w:next w:val="27"/>
    <w:link w:val="120"/>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0">
    <w:name w:val="首示例 Char"/>
    <w:basedOn w:val="38"/>
    <w:link w:val="119"/>
    <w:qFormat/>
    <w:uiPriority w:val="0"/>
    <w:rPr>
      <w:rFonts w:ascii="宋体" w:hAnsi="宋体"/>
      <w:kern w:val="2"/>
      <w:sz w:val="18"/>
      <w:szCs w:val="18"/>
    </w:rPr>
  </w:style>
  <w:style w:type="paragraph" w:customStyle="1" w:styleId="121">
    <w:name w:val="四级无"/>
    <w:basedOn w:val="58"/>
    <w:qFormat/>
    <w:uiPriority w:val="0"/>
    <w:pPr>
      <w:spacing w:before="0" w:beforeLines="0" w:after="0" w:afterLines="0"/>
    </w:pPr>
    <w:rPr>
      <w:rFonts w:ascii="宋体" w:eastAsia="宋体"/>
    </w:rPr>
  </w:style>
  <w:style w:type="paragraph" w:customStyle="1" w:styleId="122">
    <w:name w:val="条文脚注"/>
    <w:basedOn w:val="28"/>
    <w:qFormat/>
    <w:uiPriority w:val="0"/>
    <w:pPr>
      <w:numPr>
        <w:numId w:val="0"/>
      </w:numPr>
      <w:jc w:val="both"/>
    </w:pPr>
  </w:style>
  <w:style w:type="paragraph" w:customStyle="1" w:styleId="123">
    <w:name w:val="图标脚注说明"/>
    <w:basedOn w:val="27"/>
    <w:qFormat/>
    <w:uiPriority w:val="0"/>
    <w:pPr>
      <w:ind w:left="840" w:hanging="420" w:firstLineChars="0"/>
    </w:pPr>
    <w:rPr>
      <w:sz w:val="18"/>
      <w:szCs w:val="18"/>
    </w:rPr>
  </w:style>
  <w:style w:type="paragraph" w:customStyle="1" w:styleId="124">
    <w:name w:val="图表脚注说明"/>
    <w:basedOn w:val="1"/>
    <w:qFormat/>
    <w:uiPriority w:val="0"/>
    <w:pPr>
      <w:numPr>
        <w:ilvl w:val="0"/>
        <w:numId w:val="15"/>
      </w:numPr>
    </w:pPr>
    <w:rPr>
      <w:rFonts w:ascii="宋体"/>
      <w:sz w:val="18"/>
      <w:szCs w:val="18"/>
    </w:rPr>
  </w:style>
  <w:style w:type="paragraph" w:customStyle="1" w:styleId="125">
    <w:name w:val="图的脚注"/>
    <w:next w:val="2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7">
    <w:name w:val="五级无"/>
    <w:basedOn w:val="59"/>
    <w:qFormat/>
    <w:uiPriority w:val="0"/>
    <w:pPr>
      <w:spacing w:before="0" w:beforeLines="0" w:after="0" w:afterLines="0"/>
    </w:pPr>
    <w:rPr>
      <w:rFonts w:ascii="宋体" w:eastAsia="宋体"/>
    </w:rPr>
  </w:style>
  <w:style w:type="paragraph" w:customStyle="1" w:styleId="128">
    <w:name w:val="一级无"/>
    <w:basedOn w:val="45"/>
    <w:qFormat/>
    <w:uiPriority w:val="0"/>
    <w:pPr>
      <w:spacing w:before="0" w:beforeLines="0" w:after="0" w:afterLines="0"/>
    </w:pPr>
    <w:rPr>
      <w:rFonts w:ascii="宋体" w:eastAsia="宋体"/>
    </w:rPr>
  </w:style>
  <w:style w:type="character" w:customStyle="1" w:styleId="129">
    <w:name w:val="已访问的超链接1"/>
    <w:basedOn w:val="38"/>
    <w:qFormat/>
    <w:uiPriority w:val="0"/>
    <w:rPr>
      <w:color w:val="800080"/>
      <w:u w:val="single"/>
    </w:rPr>
  </w:style>
  <w:style w:type="paragraph" w:customStyle="1" w:styleId="130">
    <w:name w:val="正文表标题"/>
    <w:next w:val="27"/>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1">
    <w:name w:val="正文公式编号制表符"/>
    <w:basedOn w:val="27"/>
    <w:next w:val="27"/>
    <w:qFormat/>
    <w:uiPriority w:val="0"/>
    <w:pPr>
      <w:ind w:firstLine="0" w:firstLineChars="0"/>
    </w:pPr>
  </w:style>
  <w:style w:type="paragraph" w:customStyle="1" w:styleId="132">
    <w:name w:val="正文图标题"/>
    <w:next w:val="27"/>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3">
    <w:name w:val="终结线"/>
    <w:basedOn w:val="1"/>
    <w:qFormat/>
    <w:uiPriority w:val="0"/>
    <w:pPr>
      <w:framePr w:hSpace="181" w:vSpace="181" w:wrap="around" w:vAnchor="text" w:hAnchor="margin" w:xAlign="center" w:y="285"/>
    </w:pPr>
  </w:style>
  <w:style w:type="paragraph" w:customStyle="1" w:styleId="134">
    <w:name w:val="其他发布日期"/>
    <w:basedOn w:val="78"/>
    <w:qFormat/>
    <w:uiPriority w:val="0"/>
    <w:pPr>
      <w:framePr w:wrap="around" w:vAnchor="page" w:hAnchor="text" w:x="1419"/>
    </w:pPr>
  </w:style>
  <w:style w:type="paragraph" w:customStyle="1" w:styleId="135">
    <w:name w:val="其他实施日期"/>
    <w:basedOn w:val="117"/>
    <w:qFormat/>
    <w:uiPriority w:val="0"/>
    <w:pPr>
      <w:framePr w:wrap="around"/>
    </w:pPr>
  </w:style>
  <w:style w:type="paragraph" w:customStyle="1" w:styleId="136">
    <w:name w:val="封面标准名称2"/>
    <w:basedOn w:val="81"/>
    <w:qFormat/>
    <w:uiPriority w:val="0"/>
    <w:pPr>
      <w:framePr w:wrap="around" w:y="4469"/>
      <w:spacing w:before="630" w:beforeLines="630"/>
    </w:pPr>
  </w:style>
  <w:style w:type="paragraph" w:customStyle="1" w:styleId="137">
    <w:name w:val="封面标准英文名称2"/>
    <w:basedOn w:val="82"/>
    <w:qFormat/>
    <w:uiPriority w:val="0"/>
    <w:pPr>
      <w:framePr w:wrap="around" w:y="4469"/>
    </w:pPr>
  </w:style>
  <w:style w:type="paragraph" w:customStyle="1" w:styleId="138">
    <w:name w:val="封面一致性程度标识2"/>
    <w:basedOn w:val="83"/>
    <w:qFormat/>
    <w:uiPriority w:val="0"/>
    <w:pPr>
      <w:framePr w:wrap="around" w:y="4469"/>
    </w:pPr>
  </w:style>
  <w:style w:type="paragraph" w:customStyle="1" w:styleId="139">
    <w:name w:val="封面标准文稿类别2"/>
    <w:basedOn w:val="84"/>
    <w:qFormat/>
    <w:uiPriority w:val="0"/>
    <w:pPr>
      <w:framePr w:wrap="around" w:y="4469"/>
    </w:pPr>
  </w:style>
  <w:style w:type="paragraph" w:customStyle="1" w:styleId="140">
    <w:name w:val="封面标准文稿编辑信息2"/>
    <w:basedOn w:val="85"/>
    <w:qFormat/>
    <w:uiPriority w:val="0"/>
    <w:pPr>
      <w:framePr w:wrap="around" w:y="4469"/>
    </w:pPr>
  </w:style>
  <w:style w:type="paragraph" w:customStyle="1" w:styleId="141">
    <w:name w:val="标准文件_段"/>
    <w:qFormat/>
    <w:uiPriority w:val="0"/>
    <w:pPr>
      <w:autoSpaceDE w:val="0"/>
      <w:autoSpaceDN w:val="0"/>
      <w:adjustRightInd w:val="0"/>
      <w:snapToGrid w:val="0"/>
      <w:spacing w:line="276" w:lineRule="auto"/>
      <w:ind w:right="-105" w:rightChars="-50"/>
      <w:jc w:val="both"/>
    </w:pPr>
    <w:rPr>
      <w:rFonts w:ascii="宋体" w:hAnsi="Times New Roman" w:eastAsia="宋体" w:cs="Times New Roman"/>
      <w:spacing w:val="2"/>
      <w:sz w:val="21"/>
      <w:lang w:val="en-US" w:eastAsia="zh-CN" w:bidi="ar-SA"/>
    </w:rPr>
  </w:style>
  <w:style w:type="character" w:customStyle="1" w:styleId="142">
    <w:name w:val="标题 1 Char"/>
    <w:basedOn w:val="38"/>
    <w:link w:val="2"/>
    <w:qFormat/>
    <w:uiPriority w:val="0"/>
    <w:rPr>
      <w:rFonts w:eastAsia="楷体_GB2312"/>
      <w:b/>
      <w:bCs/>
      <w:kern w:val="44"/>
      <w:sz w:val="36"/>
      <w:szCs w:val="36"/>
    </w:rPr>
  </w:style>
  <w:style w:type="paragraph" w:customStyle="1" w:styleId="143">
    <w:name w:val="TOC 标题1"/>
    <w:basedOn w:val="2"/>
    <w:next w:val="1"/>
    <w:unhideWhenUsed/>
    <w:qFormat/>
    <w:uiPriority w:val="39"/>
    <w:pPr>
      <w:widowControl/>
      <w:autoSpaceDN/>
      <w:adjustRightInd/>
      <w:snapToGrid/>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44">
    <w:name w:val="批注框文本 Char"/>
    <w:basedOn w:val="38"/>
    <w:link w:val="20"/>
    <w:semiHidden/>
    <w:qFormat/>
    <w:uiPriority w:val="0"/>
    <w:rPr>
      <w:rFonts w:ascii="宋体"/>
      <w:kern w:val="2"/>
      <w:sz w:val="18"/>
      <w:szCs w:val="18"/>
    </w:rPr>
  </w:style>
  <w:style w:type="character" w:customStyle="1" w:styleId="145">
    <w:name w:val="批注文字 Char"/>
    <w:basedOn w:val="38"/>
    <w:link w:val="11"/>
    <w:qFormat/>
    <w:uiPriority w:val="0"/>
    <w:rPr>
      <w:kern w:val="2"/>
      <w:sz w:val="21"/>
      <w:szCs w:val="24"/>
    </w:rPr>
  </w:style>
  <w:style w:type="paragraph" w:customStyle="1" w:styleId="146">
    <w:name w:val="文件正文"/>
    <w:basedOn w:val="1"/>
    <w:qFormat/>
    <w:uiPriority w:val="0"/>
    <w:pPr>
      <w:spacing w:line="480" w:lineRule="exact"/>
      <w:ind w:firstLine="560"/>
    </w:pPr>
    <w:rPr>
      <w:rFonts w:eastAsia="仿宋_GB2312" w:cs="宋体"/>
      <w:sz w:val="28"/>
      <w:szCs w:val="20"/>
    </w:rPr>
  </w:style>
  <w:style w:type="character" w:customStyle="1" w:styleId="147">
    <w:name w:val="标题 2 Char"/>
    <w:basedOn w:val="38"/>
    <w:link w:val="3"/>
    <w:semiHidden/>
    <w:qFormat/>
    <w:uiPriority w:val="0"/>
    <w:rPr>
      <w:rFonts w:asciiTheme="majorHAnsi" w:hAnsiTheme="majorHAnsi" w:eastAsiaTheme="majorEastAsia" w:cstheme="majorBidi"/>
      <w:b/>
      <w:bCs/>
      <w:kern w:val="2"/>
      <w:sz w:val="32"/>
      <w:szCs w:val="32"/>
    </w:rPr>
  </w:style>
  <w:style w:type="character" w:customStyle="1" w:styleId="148">
    <w:name w:val="标题 3 Char"/>
    <w:basedOn w:val="38"/>
    <w:link w:val="4"/>
    <w:semiHidden/>
    <w:qFormat/>
    <w:uiPriority w:val="0"/>
    <w:rPr>
      <w:b/>
      <w:bCs/>
      <w:kern w:val="2"/>
      <w:sz w:val="32"/>
      <w:szCs w:val="32"/>
    </w:rPr>
  </w:style>
  <w:style w:type="paragraph" w:customStyle="1" w:styleId="149">
    <w:name w:val="文件大标题"/>
    <w:next w:val="1"/>
    <w:qFormat/>
    <w:uiPriority w:val="0"/>
    <w:pPr>
      <w:spacing w:before="240" w:after="120" w:line="480" w:lineRule="exact"/>
      <w:jc w:val="center"/>
    </w:pPr>
    <w:rPr>
      <w:rFonts w:ascii="Times New Roman" w:hAnsi="Times New Roman" w:eastAsia="黑体" w:cs="Times New Roman"/>
      <w:kern w:val="2"/>
      <w:sz w:val="36"/>
      <w:szCs w:val="44"/>
      <w:lang w:val="en-US" w:eastAsia="zh-CN" w:bidi="ar-SA"/>
    </w:rPr>
  </w:style>
  <w:style w:type="character" w:customStyle="1" w:styleId="150">
    <w:name w:val="批注主题 Char"/>
    <w:basedOn w:val="145"/>
    <w:link w:val="35"/>
    <w:semiHidden/>
    <w:qFormat/>
    <w:uiPriority w:val="0"/>
    <w:rPr>
      <w:b/>
      <w:bCs/>
      <w:kern w:val="2"/>
      <w:sz w:val="21"/>
      <w:szCs w:val="24"/>
    </w:rPr>
  </w:style>
  <w:style w:type="character" w:customStyle="1" w:styleId="151">
    <w:name w:val="CX正文 字符"/>
    <w:link w:val="152"/>
    <w:qFormat/>
    <w:uiPriority w:val="0"/>
    <w:rPr>
      <w:rFonts w:ascii="仿宋" w:hAnsi="仿宋" w:eastAsia="仿宋" w:cs="仿宋体"/>
      <w:color w:val="000000"/>
      <w:sz w:val="28"/>
      <w:szCs w:val="28"/>
    </w:rPr>
  </w:style>
  <w:style w:type="paragraph" w:customStyle="1" w:styleId="152">
    <w:name w:val="CX正文"/>
    <w:basedOn w:val="1"/>
    <w:link w:val="151"/>
    <w:qFormat/>
    <w:uiPriority w:val="0"/>
    <w:pPr>
      <w:tabs>
        <w:tab w:val="left" w:pos="1080"/>
        <w:tab w:val="left" w:pos="1540"/>
      </w:tabs>
      <w:autoSpaceDE w:val="0"/>
      <w:autoSpaceDN w:val="0"/>
      <w:adjustRightInd w:val="0"/>
      <w:spacing w:line="420" w:lineRule="atLeast"/>
      <w:ind w:firstLine="560" w:firstLineChars="200"/>
    </w:pPr>
    <w:rPr>
      <w:rFonts w:ascii="仿宋" w:hAnsi="仿宋" w:eastAsia="仿宋" w:cs="仿宋体"/>
      <w:color w:val="000000"/>
      <w:kern w:val="0"/>
      <w:sz w:val="28"/>
      <w:szCs w:val="28"/>
    </w:rPr>
  </w:style>
  <w:style w:type="character" w:customStyle="1" w:styleId="153">
    <w:name w:val="日期 Char"/>
    <w:basedOn w:val="38"/>
    <w:link w:val="18"/>
    <w:qFormat/>
    <w:uiPriority w:val="0"/>
    <w:rPr>
      <w:kern w:val="2"/>
      <w:sz w:val="21"/>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9A4741-5C33-477E-89D5-57ECBF5BC35E}">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8</Pages>
  <Words>3595</Words>
  <Characters>4159</Characters>
  <Lines>47</Lines>
  <Paragraphs>13</Paragraphs>
  <TotalTime>23</TotalTime>
  <ScaleCrop>false</ScaleCrop>
  <LinksUpToDate>false</LinksUpToDate>
  <CharactersWithSpaces>4393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2025-04-15T01:54:00Z</dcterms:created>
  <dc:creator>CNIS</dc:creator>
  <cp:lastModifiedBy>momo</cp:lastModifiedBy>
  <cp:lastPrinted>2026-07-01T04:03:00Z</cp:lastPrinted>
  <dcterms:modified xsi:type="dcterms:W3CDTF">2026-07-13T08:06:53Z</dcterms:modified>
  <dc:title>标准名称</dc:title>
  <cp:revision>1254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FCFD5C366C604037BF78014C92FBA2F7</vt:lpwstr>
  </property>
  <property fmtid="{D5CDD505-2E9C-101B-9397-08002B2CF9AE}" pid="4" name="KSOTemplateDocerSaveRecord">
    <vt:lpwstr>eyJoZGlkIjoiZTk2MjMzMDU2MGYxYTJiMTM5YWVmNmYxZWI1OTU3NzUiLCJ1c2VySWQiOiIxNTc4NjQxMzMwIn0=</vt:lpwstr>
  </property>
</Properties>
</file>